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EBAFE">
      <w:pPr>
        <w:rPr>
          <w:rFonts w:eastAsia="仿宋_GB2312"/>
          <w:color w:val="auto"/>
          <w:sz w:val="36"/>
          <w:szCs w:val="36"/>
        </w:rPr>
      </w:pPr>
      <w:bookmarkStart w:id="0" w:name="_Hlk57883707"/>
    </w:p>
    <w:p w14:paraId="36B8A8D8">
      <w:pPr>
        <w:rPr>
          <w:rFonts w:eastAsia="仿宋_GB2312"/>
          <w:color w:val="auto"/>
          <w:sz w:val="36"/>
          <w:szCs w:val="36"/>
        </w:rPr>
      </w:pPr>
    </w:p>
    <w:p w14:paraId="653248FF">
      <w:pPr>
        <w:rPr>
          <w:rFonts w:eastAsia="仿宋_GB2312"/>
          <w:color w:val="auto"/>
          <w:sz w:val="36"/>
          <w:szCs w:val="36"/>
        </w:rPr>
      </w:pPr>
    </w:p>
    <w:bookmarkEnd w:id="0"/>
    <w:p w14:paraId="5527595E">
      <w:pPr>
        <w:adjustRightInd w:val="0"/>
        <w:snapToGrid w:val="0"/>
        <w:ind w:firstLine="0" w:firstLineChars="0"/>
        <w:jc w:val="center"/>
        <w:outlineLvl w:val="0"/>
        <w:rPr>
          <w:rFonts w:eastAsia="方正小标宋_GBK"/>
          <w:bCs/>
          <w:color w:val="auto"/>
          <w:sz w:val="56"/>
          <w:szCs w:val="56"/>
        </w:rPr>
      </w:pPr>
      <w:r>
        <w:rPr>
          <w:rFonts w:hint="eastAsia" w:eastAsia="方正小标宋_GBK"/>
          <w:bCs/>
          <w:color w:val="auto"/>
          <w:sz w:val="56"/>
          <w:szCs w:val="56"/>
        </w:rPr>
        <w:t>建设项目生态环境影响报告表</w:t>
      </w:r>
    </w:p>
    <w:p w14:paraId="619C5937">
      <w:pPr>
        <w:keepNext w:val="0"/>
        <w:keepLines w:val="0"/>
        <w:pageBreakBefore w:val="0"/>
        <w:widowControl w:val="0"/>
        <w:kinsoku/>
        <w:wordWrap/>
        <w:overflowPunct/>
        <w:topLinePunct w:val="0"/>
        <w:bidi w:val="0"/>
        <w:adjustRightInd w:val="0"/>
        <w:snapToGrid w:val="0"/>
        <w:spacing w:before="192" w:beforeLines="80"/>
        <w:ind w:firstLine="0" w:firstLineChars="0"/>
        <w:jc w:val="center"/>
        <w:textAlignment w:val="auto"/>
        <w:rPr>
          <w:rFonts w:eastAsia="楷体_GB2312"/>
          <w:bCs/>
          <w:color w:val="auto"/>
          <w:sz w:val="48"/>
          <w:szCs w:val="48"/>
        </w:rPr>
      </w:pPr>
      <w:r>
        <w:rPr>
          <w:rFonts w:eastAsia="楷体_GB2312"/>
          <w:bCs/>
          <w:color w:val="auto"/>
          <w:sz w:val="48"/>
          <w:szCs w:val="48"/>
        </w:rPr>
        <w:t>（生态影响类）</w:t>
      </w:r>
    </w:p>
    <w:p w14:paraId="46178CAA">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eastAsia" w:eastAsia="华文仿宋"/>
          <w:color w:val="auto"/>
          <w:kern w:val="44"/>
          <w:sz w:val="44"/>
          <w:szCs w:val="44"/>
          <w:lang w:eastAsia="zh-CN"/>
        </w:rPr>
      </w:pPr>
      <w:bookmarkStart w:id="1" w:name="_Hlk57883728"/>
      <w:r>
        <w:rPr>
          <w:rFonts w:hint="eastAsia" w:eastAsia="华文仿宋"/>
          <w:color w:val="auto"/>
          <w:kern w:val="44"/>
          <w:sz w:val="44"/>
          <w:szCs w:val="44"/>
          <w:lang w:eastAsia="zh-CN"/>
        </w:rPr>
        <w:t>（</w:t>
      </w:r>
      <w:r>
        <w:rPr>
          <w:rFonts w:hint="eastAsia" w:eastAsia="华文仿宋"/>
          <w:color w:val="auto"/>
          <w:kern w:val="44"/>
          <w:sz w:val="44"/>
          <w:szCs w:val="44"/>
          <w:lang w:val="en-US" w:eastAsia="zh-CN"/>
        </w:rPr>
        <w:t>公示本</w:t>
      </w:r>
      <w:r>
        <w:rPr>
          <w:rFonts w:hint="eastAsia" w:eastAsia="华文仿宋"/>
          <w:color w:val="auto"/>
          <w:kern w:val="44"/>
          <w:sz w:val="44"/>
          <w:szCs w:val="44"/>
          <w:lang w:eastAsia="zh-CN"/>
        </w:rPr>
        <w:t>）</w:t>
      </w:r>
    </w:p>
    <w:p w14:paraId="107C2F00">
      <w:pPr>
        <w:ind w:firstLine="1040"/>
        <w:jc w:val="center"/>
        <w:rPr>
          <w:rFonts w:eastAsia="仿宋"/>
          <w:color w:val="auto"/>
          <w:sz w:val="52"/>
          <w:szCs w:val="52"/>
        </w:rPr>
      </w:pPr>
    </w:p>
    <w:p w14:paraId="0723D34B">
      <w:pPr>
        <w:ind w:firstLine="880"/>
        <w:rPr>
          <w:rFonts w:eastAsia="仿宋"/>
          <w:color w:val="auto"/>
          <w:sz w:val="44"/>
          <w:szCs w:val="44"/>
        </w:rPr>
      </w:pPr>
    </w:p>
    <w:p w14:paraId="046D91E2">
      <w:pPr>
        <w:ind w:firstLine="880"/>
        <w:rPr>
          <w:rFonts w:eastAsia="仿宋"/>
          <w:color w:val="auto"/>
          <w:sz w:val="44"/>
          <w:szCs w:val="44"/>
        </w:rPr>
      </w:pPr>
    </w:p>
    <w:bookmarkEnd w:id="1"/>
    <w:p w14:paraId="6E8632FC">
      <w:pPr>
        <w:tabs>
          <w:tab w:val="left" w:pos="480"/>
          <w:tab w:val="left" w:pos="1200"/>
        </w:tabs>
        <w:autoSpaceDE/>
        <w:autoSpaceDN/>
        <w:adjustRightInd w:val="0"/>
        <w:snapToGrid w:val="0"/>
        <w:spacing w:line="288" w:lineRule="auto"/>
        <w:ind w:firstLine="360" w:firstLineChars="100"/>
        <w:rPr>
          <w:rFonts w:eastAsia="仿宋_GB2312"/>
          <w:color w:val="auto"/>
          <w:sz w:val="36"/>
          <w:szCs w:val="36"/>
          <w:u w:val="single"/>
        </w:rPr>
      </w:pPr>
      <w:r>
        <w:rPr>
          <w:rFonts w:eastAsia="仿宋_GB2312"/>
          <w:color w:val="auto"/>
          <w:sz w:val="36"/>
          <w:szCs w:val="36"/>
        </w:rPr>
        <w:t>项目名称：</w:t>
      </w:r>
      <w:r>
        <w:rPr>
          <w:rFonts w:eastAsia="仿宋_GB2312"/>
          <w:color w:val="auto"/>
          <w:sz w:val="36"/>
          <w:szCs w:val="36"/>
          <w:u w:val="single"/>
        </w:rPr>
        <w:t xml:space="preserve">  </w:t>
      </w:r>
      <w:r>
        <w:rPr>
          <w:rFonts w:hint="eastAsia" w:eastAsia="仿宋_GB2312"/>
          <w:color w:val="auto"/>
          <w:sz w:val="36"/>
          <w:szCs w:val="36"/>
          <w:u w:val="single"/>
        </w:rPr>
        <w:t xml:space="preserve">    通江县铁佛镇移民安置区      </w:t>
      </w:r>
    </w:p>
    <w:p w14:paraId="7A822FF7">
      <w:pPr>
        <w:tabs>
          <w:tab w:val="left" w:pos="480"/>
          <w:tab w:val="left" w:pos="1200"/>
        </w:tabs>
        <w:autoSpaceDE/>
        <w:autoSpaceDN/>
        <w:adjustRightInd w:val="0"/>
        <w:snapToGrid w:val="0"/>
        <w:spacing w:line="288" w:lineRule="auto"/>
        <w:ind w:firstLine="360" w:firstLineChars="100"/>
        <w:rPr>
          <w:rFonts w:eastAsia="仿宋_GB2312"/>
          <w:color w:val="auto"/>
          <w:sz w:val="36"/>
          <w:szCs w:val="36"/>
          <w:u w:val="single"/>
        </w:rPr>
      </w:pPr>
      <w:r>
        <w:rPr>
          <w:rFonts w:ascii="Calibri" w:hAnsi="Calibri" w:eastAsia="仿宋_GB2312" w:cs="Calibri"/>
          <w:color w:val="auto"/>
          <w:sz w:val="36"/>
          <w:szCs w:val="36"/>
        </w:rPr>
        <w:tab/>
      </w:r>
      <w:r>
        <w:rPr>
          <w:rFonts w:ascii="Calibri" w:hAnsi="Calibri" w:eastAsia="仿宋_GB2312" w:cs="Calibri"/>
          <w:color w:val="auto"/>
          <w:sz w:val="36"/>
          <w:szCs w:val="36"/>
        </w:rPr>
        <w:tab/>
      </w:r>
      <w:r>
        <w:rPr>
          <w:rFonts w:ascii="Calibri" w:hAnsi="Calibri" w:eastAsia="仿宋_GB2312" w:cs="Calibri"/>
          <w:color w:val="auto"/>
          <w:sz w:val="36"/>
          <w:szCs w:val="36"/>
        </w:rPr>
        <w:tab/>
      </w:r>
      <w:r>
        <w:rPr>
          <w:rFonts w:ascii="Calibri" w:hAnsi="Calibri" w:eastAsia="仿宋_GB2312" w:cs="Calibri"/>
          <w:color w:val="auto"/>
          <w:sz w:val="36"/>
          <w:szCs w:val="36"/>
        </w:rPr>
        <w:tab/>
      </w:r>
      <w:r>
        <w:rPr>
          <w:rFonts w:ascii="Calibri" w:hAnsi="Calibri" w:eastAsia="仿宋_GB2312" w:cs="Calibri"/>
          <w:color w:val="auto"/>
          <w:sz w:val="36"/>
          <w:szCs w:val="36"/>
        </w:rPr>
        <w:tab/>
      </w:r>
      <w:r>
        <w:rPr>
          <w:rFonts w:hint="eastAsia" w:ascii="Calibri" w:hAnsi="Calibri" w:eastAsia="仿宋_GB2312" w:cs="Calibri"/>
          <w:color w:val="auto"/>
          <w:sz w:val="36"/>
          <w:szCs w:val="36"/>
          <w:u w:val="single"/>
        </w:rPr>
        <w:t xml:space="preserve">  </w:t>
      </w:r>
      <w:r>
        <w:rPr>
          <w:rFonts w:hint="eastAsia" w:eastAsia="仿宋_GB2312"/>
          <w:color w:val="auto"/>
          <w:sz w:val="36"/>
          <w:szCs w:val="36"/>
          <w:u w:val="single"/>
        </w:rPr>
        <w:t>饮水管网及灌溉水利设施建设工</w:t>
      </w:r>
      <w:r>
        <w:rPr>
          <w:rFonts w:hint="eastAsia" w:ascii="Calibri" w:hAnsi="Calibri" w:eastAsia="仿宋_GB2312" w:cs="Calibri"/>
          <w:color w:val="auto"/>
          <w:sz w:val="36"/>
          <w:szCs w:val="36"/>
          <w:u w:val="single"/>
        </w:rPr>
        <w:t xml:space="preserve">程  </w:t>
      </w:r>
    </w:p>
    <w:p w14:paraId="6F76FEA7">
      <w:pPr>
        <w:tabs>
          <w:tab w:val="left" w:pos="480"/>
          <w:tab w:val="left" w:pos="1200"/>
        </w:tabs>
        <w:autoSpaceDE/>
        <w:autoSpaceDN/>
        <w:adjustRightInd w:val="0"/>
        <w:snapToGrid w:val="0"/>
        <w:spacing w:line="288" w:lineRule="auto"/>
        <w:ind w:firstLine="360" w:firstLineChars="100"/>
        <w:rPr>
          <w:rFonts w:eastAsia="仿宋_GB2312"/>
          <w:color w:val="auto"/>
          <w:sz w:val="36"/>
          <w:szCs w:val="36"/>
          <w:u w:val="single"/>
        </w:rPr>
      </w:pPr>
      <w:r>
        <w:rPr>
          <w:rFonts w:hint="eastAsia" w:eastAsia="仿宋_GB2312"/>
          <w:color w:val="auto"/>
          <w:sz w:val="36"/>
          <w:szCs w:val="36"/>
        </w:rPr>
        <w:t>建设单位（盖章）：</w:t>
      </w:r>
      <w:r>
        <w:rPr>
          <w:rFonts w:hint="eastAsia" w:eastAsia="仿宋_GB2312"/>
          <w:color w:val="auto"/>
          <w:sz w:val="36"/>
          <w:szCs w:val="36"/>
          <w:u w:val="single"/>
        </w:rPr>
        <w:t>通江县涉水工程移民服务中心</w:t>
      </w:r>
    </w:p>
    <w:p w14:paraId="43144A79">
      <w:pPr>
        <w:tabs>
          <w:tab w:val="left" w:pos="480"/>
          <w:tab w:val="left" w:pos="1200"/>
        </w:tabs>
        <w:autoSpaceDE/>
        <w:autoSpaceDN/>
        <w:adjustRightInd w:val="0"/>
        <w:snapToGrid w:val="0"/>
        <w:spacing w:line="288" w:lineRule="auto"/>
        <w:ind w:firstLine="360" w:firstLineChars="100"/>
        <w:rPr>
          <w:rFonts w:eastAsia="仿宋_GB2312"/>
          <w:color w:val="auto"/>
          <w:sz w:val="36"/>
          <w:szCs w:val="36"/>
        </w:rPr>
      </w:pPr>
      <w:r>
        <w:rPr>
          <w:rFonts w:hint="eastAsia" w:eastAsia="仿宋_GB2312"/>
          <w:color w:val="auto"/>
          <w:sz w:val="36"/>
          <w:szCs w:val="36"/>
        </w:rPr>
        <w:t>编制日期：</w:t>
      </w:r>
      <w:r>
        <w:rPr>
          <w:rFonts w:hint="eastAsia" w:eastAsia="仿宋_GB2312"/>
          <w:color w:val="auto"/>
          <w:sz w:val="36"/>
          <w:szCs w:val="36"/>
          <w:u w:val="single"/>
        </w:rPr>
        <w:t xml:space="preserve">           2026年8月            </w:t>
      </w:r>
    </w:p>
    <w:p w14:paraId="7C79DCE5">
      <w:pPr>
        <w:autoSpaceDE/>
        <w:autoSpaceDN/>
        <w:adjustRightInd w:val="0"/>
        <w:snapToGrid w:val="0"/>
        <w:spacing w:line="288" w:lineRule="auto"/>
        <w:rPr>
          <w:rFonts w:eastAsia="仿宋_GB2312"/>
          <w:color w:val="auto"/>
          <w:sz w:val="36"/>
          <w:szCs w:val="36"/>
        </w:rPr>
      </w:pPr>
    </w:p>
    <w:p w14:paraId="6A1C2E55">
      <w:pPr>
        <w:adjustRightInd w:val="0"/>
        <w:snapToGrid w:val="0"/>
        <w:spacing w:line="288" w:lineRule="auto"/>
        <w:rPr>
          <w:rFonts w:eastAsia="仿宋_GB2312"/>
          <w:color w:val="auto"/>
          <w:sz w:val="36"/>
          <w:szCs w:val="36"/>
        </w:rPr>
      </w:pPr>
    </w:p>
    <w:p w14:paraId="316BEDE5">
      <w:pPr>
        <w:adjustRightInd w:val="0"/>
        <w:snapToGrid w:val="0"/>
        <w:spacing w:line="288" w:lineRule="auto"/>
        <w:rPr>
          <w:rFonts w:eastAsia="仿宋_GB2312"/>
          <w:color w:val="auto"/>
          <w:sz w:val="36"/>
          <w:szCs w:val="36"/>
        </w:rPr>
      </w:pPr>
      <w:r>
        <w:rPr>
          <w:rFonts w:hint="eastAsia" w:eastAsia="仿宋_GB2312"/>
          <w:color w:val="auto"/>
          <w:sz w:val="36"/>
          <w:szCs w:val="36"/>
        </w:rPr>
        <w:t xml:space="preserve">  </w:t>
      </w:r>
    </w:p>
    <w:p w14:paraId="2A2F2E04">
      <w:pPr>
        <w:adjustRightInd w:val="0"/>
        <w:snapToGrid w:val="0"/>
        <w:spacing w:line="288" w:lineRule="auto"/>
        <w:jc w:val="center"/>
        <w:rPr>
          <w:rFonts w:eastAsia="楷体_GB2312"/>
          <w:color w:val="auto"/>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701" w:right="1531" w:bottom="1701" w:left="1531" w:header="851" w:footer="1077" w:gutter="0"/>
          <w:pgNumType w:start="21"/>
          <w:cols w:space="720" w:num="1"/>
          <w:docGrid w:linePitch="312" w:charSpace="0"/>
        </w:sectPr>
      </w:pPr>
      <w:r>
        <w:rPr>
          <w:rFonts w:eastAsia="楷体_GB2312"/>
          <w:color w:val="auto"/>
          <w:sz w:val="36"/>
          <w:szCs w:val="36"/>
        </w:rPr>
        <w:t>中华人民共和国生态环境部制</w:t>
      </w:r>
    </w:p>
    <w:p w14:paraId="39CD7903">
      <w:pPr>
        <w:adjustRightInd w:val="0"/>
        <w:snapToGrid w:val="0"/>
        <w:ind w:firstLine="0" w:firstLineChars="0"/>
        <w:rPr>
          <w:rFonts w:hint="eastAsia" w:ascii="宋体" w:hAnsi="宋体" w:cs="微软雅黑"/>
          <w:b/>
          <w:bCs/>
          <w:color w:val="auto"/>
        </w:rPr>
      </w:pPr>
      <w:r>
        <w:rPr>
          <w:rFonts w:hint="eastAsia" w:ascii="宋体" w:hAnsi="宋体" w:cs="微软雅黑"/>
          <w:b/>
          <w:bCs/>
          <w:color w:val="auto"/>
        </w:rPr>
        <w:t>附件</w:t>
      </w:r>
    </w:p>
    <w:p w14:paraId="3B1249BC">
      <w:pPr>
        <w:adjustRightInd w:val="0"/>
        <w:snapToGrid w:val="0"/>
        <w:ind w:firstLine="480"/>
        <w:rPr>
          <w:rFonts w:hint="eastAsia" w:ascii="宋体" w:hAnsi="宋体" w:cs="微软雅黑"/>
          <w:color w:val="auto"/>
        </w:rPr>
      </w:pPr>
      <w:r>
        <w:rPr>
          <w:rFonts w:hint="eastAsia" w:ascii="宋体" w:hAnsi="宋体" w:cs="微软雅黑"/>
          <w:color w:val="auto"/>
        </w:rPr>
        <w:t>附件1 通江县发展和改革局关于通江县铁佛镇移民安置区饮水管网及灌溉水利设施建设工程可行性研究报告的批复（通发改〔2024〕450号）</w:t>
      </w:r>
    </w:p>
    <w:p w14:paraId="6A618E6C">
      <w:pPr>
        <w:adjustRightInd w:val="0"/>
        <w:snapToGrid w:val="0"/>
        <w:ind w:firstLine="480"/>
        <w:rPr>
          <w:rFonts w:hint="eastAsia" w:ascii="宋体" w:hAnsi="宋体" w:cs="微软雅黑"/>
          <w:color w:val="auto"/>
        </w:rPr>
      </w:pPr>
      <w:r>
        <w:rPr>
          <w:rFonts w:hint="eastAsia" w:ascii="宋体" w:hAnsi="宋体" w:cs="微软雅黑"/>
          <w:color w:val="auto"/>
        </w:rPr>
        <w:t>附件2 巴中市水利局关于2025年度中央大中型水库库区和移民安置区后期扶持重点项目（通江县铁佛镇移民安置区饮水管网及灌溉水利设施建设工程）初步设计报告的批复（巴市水函〔2025〕71号）</w:t>
      </w:r>
    </w:p>
    <w:p w14:paraId="3A06CD34">
      <w:pPr>
        <w:adjustRightInd w:val="0"/>
        <w:snapToGrid w:val="0"/>
        <w:ind w:firstLine="480"/>
        <w:rPr>
          <w:rFonts w:hint="eastAsia" w:ascii="宋体" w:hAnsi="宋体" w:cs="微软雅黑"/>
          <w:color w:val="auto"/>
        </w:rPr>
      </w:pPr>
      <w:r>
        <w:rPr>
          <w:rFonts w:hint="eastAsia" w:ascii="宋体" w:hAnsi="宋体" w:cs="微软雅黑"/>
          <w:color w:val="auto"/>
        </w:rPr>
        <w:t>附件3 通江县水利局关于印发通江县铁佛镇移民安置区饮水管网及灌溉水利设施建设工程（灌溉供水部分）水资源论证报告书审查意见的函（通水函〔2026〕14号）</w:t>
      </w:r>
    </w:p>
    <w:p w14:paraId="3913528A">
      <w:pPr>
        <w:adjustRightInd w:val="0"/>
        <w:snapToGrid w:val="0"/>
        <w:ind w:firstLine="480"/>
        <w:rPr>
          <w:rFonts w:hint="eastAsia" w:ascii="宋体" w:hAnsi="宋体" w:cs="微软雅黑"/>
          <w:color w:val="auto"/>
        </w:rPr>
      </w:pPr>
      <w:r>
        <w:rPr>
          <w:rFonts w:hint="eastAsia" w:ascii="宋体" w:hAnsi="宋体" w:cs="微软雅黑"/>
          <w:color w:val="auto"/>
        </w:rPr>
        <w:t>附件4 通江县水利局关于通江县铁佛镇移民安置区饮水管网及灌溉水利设施建设工程水土保持方案报告书的批复（通水审〔2025〕112号）</w:t>
      </w:r>
    </w:p>
    <w:p w14:paraId="10149495">
      <w:pPr>
        <w:adjustRightInd w:val="0"/>
        <w:snapToGrid w:val="0"/>
        <w:ind w:firstLine="480"/>
        <w:rPr>
          <w:rFonts w:hint="eastAsia" w:ascii="宋体" w:hAnsi="宋体" w:cs="微软雅黑"/>
          <w:color w:val="auto"/>
        </w:rPr>
      </w:pPr>
      <w:r>
        <w:rPr>
          <w:rFonts w:hint="eastAsia" w:ascii="宋体" w:hAnsi="宋体" w:cs="微软雅黑"/>
          <w:color w:val="auto"/>
        </w:rPr>
        <w:t>附件5 通江县自然资脉和规划局关于通江县铁佛镇移民安置区饮水管网及灌溉水利设施建设工程用地选址意见的复函</w:t>
      </w:r>
    </w:p>
    <w:p w14:paraId="3A6B9D9A">
      <w:pPr>
        <w:adjustRightInd w:val="0"/>
        <w:snapToGrid w:val="0"/>
        <w:ind w:firstLine="480"/>
        <w:rPr>
          <w:rFonts w:hint="eastAsia" w:ascii="宋体" w:hAnsi="宋体" w:cs="微软雅黑"/>
          <w:color w:val="auto"/>
        </w:rPr>
      </w:pPr>
      <w:r>
        <w:rPr>
          <w:rFonts w:hint="eastAsia" w:ascii="宋体" w:hAnsi="宋体" w:cs="微软雅黑"/>
          <w:color w:val="auto"/>
        </w:rPr>
        <w:t>附件6 通江县林业局关于核实通江县铁佛镇移民安置区饮水管网及灌溉水利设施建设工程用地选址意见的复函</w:t>
      </w:r>
    </w:p>
    <w:p w14:paraId="786AD237">
      <w:pPr>
        <w:adjustRightInd w:val="0"/>
        <w:snapToGrid w:val="0"/>
        <w:ind w:firstLine="480"/>
        <w:rPr>
          <w:rFonts w:hint="eastAsia" w:ascii="宋体" w:hAnsi="宋体" w:cs="微软雅黑"/>
          <w:color w:val="auto"/>
        </w:rPr>
      </w:pPr>
      <w:r>
        <w:rPr>
          <w:rFonts w:hint="eastAsia" w:ascii="宋体" w:hAnsi="宋体" w:cs="微软雅黑"/>
          <w:color w:val="auto"/>
        </w:rPr>
        <w:t>附件7 环境现状监测报告（创标检字(2025)第W332号）</w:t>
      </w:r>
    </w:p>
    <w:p w14:paraId="26400769">
      <w:pPr>
        <w:adjustRightInd w:val="0"/>
        <w:snapToGrid w:val="0"/>
        <w:ind w:firstLine="480"/>
        <w:rPr>
          <w:rFonts w:hint="eastAsia" w:ascii="宋体" w:hAnsi="宋体" w:cs="微软雅黑"/>
          <w:color w:val="auto"/>
        </w:rPr>
      </w:pPr>
      <w:r>
        <w:rPr>
          <w:rFonts w:hint="eastAsia" w:ascii="宋体" w:hAnsi="宋体" w:cs="微软雅黑"/>
          <w:color w:val="auto"/>
        </w:rPr>
        <w:t>附件8 环境现状监测报告（川恒检字(2025)第720WT04号）</w:t>
      </w:r>
    </w:p>
    <w:p w14:paraId="73D0A2EA">
      <w:pPr>
        <w:adjustRightInd w:val="0"/>
        <w:snapToGrid w:val="0"/>
        <w:ind w:firstLine="480"/>
        <w:rPr>
          <w:rFonts w:hint="eastAsia" w:ascii="宋体" w:hAnsi="宋体" w:cs="微软雅黑"/>
          <w:color w:val="auto"/>
        </w:rPr>
      </w:pPr>
      <w:r>
        <w:rPr>
          <w:rFonts w:ascii="宋体" w:hAnsi="宋体" w:cs="微软雅黑"/>
          <w:color w:val="auto"/>
        </w:rPr>
        <w:t>附件9</w:t>
      </w:r>
      <w:r>
        <w:rPr>
          <w:rFonts w:hint="eastAsia" w:ascii="宋体" w:hAnsi="宋体" w:cs="微软雅黑"/>
          <w:color w:val="auto"/>
        </w:rPr>
        <w:t xml:space="preserve"> </w:t>
      </w:r>
      <w:r>
        <w:rPr>
          <w:rFonts w:ascii="宋体" w:hAnsi="宋体" w:cs="微软雅黑"/>
          <w:color w:val="auto"/>
        </w:rPr>
        <w:t>关于通江县铁佛镇移民安置区饮水管网及灌溉水利设施建设工程可研批复建设内容与初步设计建设内容差异的情况说明</w:t>
      </w:r>
    </w:p>
    <w:p w14:paraId="10368D82">
      <w:pPr>
        <w:adjustRightInd w:val="0"/>
        <w:snapToGrid w:val="0"/>
        <w:ind w:firstLine="0" w:firstLineChars="0"/>
        <w:rPr>
          <w:rFonts w:hint="eastAsia" w:ascii="宋体" w:hAnsi="宋体" w:cs="微软雅黑"/>
          <w:color w:val="auto"/>
        </w:rPr>
      </w:pPr>
    </w:p>
    <w:p w14:paraId="1492319A">
      <w:pPr>
        <w:adjustRightInd w:val="0"/>
        <w:snapToGrid w:val="0"/>
        <w:ind w:firstLine="0" w:firstLineChars="0"/>
        <w:rPr>
          <w:rFonts w:hint="eastAsia" w:ascii="宋体" w:hAnsi="宋体" w:cs="微软雅黑"/>
          <w:b/>
          <w:bCs/>
          <w:color w:val="auto"/>
        </w:rPr>
      </w:pPr>
      <w:r>
        <w:rPr>
          <w:rFonts w:hint="eastAsia" w:ascii="宋体" w:hAnsi="宋体" w:cs="微软雅黑"/>
          <w:b/>
          <w:bCs/>
          <w:color w:val="auto"/>
        </w:rPr>
        <w:t>附图</w:t>
      </w:r>
    </w:p>
    <w:p w14:paraId="3920AB34">
      <w:pPr>
        <w:adjustRightInd w:val="0"/>
        <w:snapToGrid w:val="0"/>
        <w:ind w:firstLine="480"/>
        <w:rPr>
          <w:rFonts w:hint="eastAsia" w:ascii="宋体" w:hAnsi="宋体" w:cs="微软雅黑"/>
          <w:color w:val="auto"/>
        </w:rPr>
      </w:pPr>
      <w:r>
        <w:rPr>
          <w:rFonts w:hint="eastAsia" w:ascii="宋体" w:hAnsi="宋体" w:cs="微软雅黑"/>
          <w:color w:val="auto"/>
        </w:rPr>
        <w:t>附图1 项目区地理位置图</w:t>
      </w:r>
    </w:p>
    <w:p w14:paraId="7D43A1F4">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2</w:t>
      </w:r>
      <w:r>
        <w:rPr>
          <w:rFonts w:hint="eastAsia" w:ascii="宋体" w:hAnsi="宋体" w:cs="微软雅黑"/>
          <w:color w:val="auto"/>
        </w:rPr>
        <w:t xml:space="preserve"> 项目区水系图</w:t>
      </w:r>
    </w:p>
    <w:p w14:paraId="30D118F9">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3</w:t>
      </w:r>
      <w:r>
        <w:rPr>
          <w:rFonts w:hint="eastAsia" w:ascii="宋体" w:hAnsi="宋体" w:cs="微软雅黑"/>
          <w:color w:val="auto"/>
        </w:rPr>
        <w:t xml:space="preserve"> 项目区土壤侵蚀图</w:t>
      </w:r>
    </w:p>
    <w:p w14:paraId="2BB55C88">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4</w:t>
      </w:r>
      <w:r>
        <w:rPr>
          <w:rFonts w:hint="eastAsia" w:ascii="宋体" w:hAnsi="宋体" w:cs="微软雅黑"/>
          <w:color w:val="auto"/>
        </w:rPr>
        <w:t xml:space="preserve"> 项目区总平面布置图</w:t>
      </w:r>
    </w:p>
    <w:p w14:paraId="0B38D7A9">
      <w:pPr>
        <w:adjustRightInd w:val="0"/>
        <w:snapToGrid w:val="0"/>
        <w:ind w:firstLine="480"/>
        <w:rPr>
          <w:rFonts w:hint="eastAsia" w:ascii="宋体" w:hAnsi="宋体" w:cs="微软雅黑"/>
          <w:color w:val="auto"/>
        </w:rPr>
      </w:pPr>
      <w:r>
        <w:rPr>
          <w:rFonts w:hint="eastAsia" w:ascii="宋体" w:hAnsi="宋体" w:cs="微软雅黑"/>
          <w:color w:val="auto"/>
        </w:rPr>
        <w:t>附图5 流里河水库片区总平面布置图</w:t>
      </w:r>
    </w:p>
    <w:p w14:paraId="1EB62E89">
      <w:pPr>
        <w:adjustRightInd w:val="0"/>
        <w:snapToGrid w:val="0"/>
        <w:ind w:firstLine="480"/>
        <w:rPr>
          <w:rFonts w:hint="eastAsia" w:ascii="宋体" w:hAnsi="宋体" w:cs="微软雅黑"/>
          <w:color w:val="auto"/>
        </w:rPr>
      </w:pPr>
      <w:r>
        <w:rPr>
          <w:rFonts w:hint="eastAsia" w:ascii="宋体" w:hAnsi="宋体" w:cs="微软雅黑"/>
          <w:color w:val="auto"/>
        </w:rPr>
        <w:t>附图6 斯溪沟水库片区总平面布置图</w:t>
      </w:r>
    </w:p>
    <w:p w14:paraId="4E2403D4">
      <w:pPr>
        <w:adjustRightInd w:val="0"/>
        <w:snapToGrid w:val="0"/>
        <w:ind w:firstLine="480"/>
        <w:rPr>
          <w:rFonts w:hint="eastAsia" w:ascii="宋体" w:hAnsi="宋体" w:cs="微软雅黑"/>
          <w:color w:val="auto"/>
        </w:rPr>
      </w:pPr>
      <w:r>
        <w:rPr>
          <w:rFonts w:hint="eastAsia" w:ascii="宋体" w:hAnsi="宋体" w:cs="微软雅黑"/>
          <w:color w:val="auto"/>
        </w:rPr>
        <w:t>附图7 王家河水库片区总平面布置图</w:t>
      </w:r>
    </w:p>
    <w:p w14:paraId="5B98EC39">
      <w:pPr>
        <w:adjustRightInd w:val="0"/>
        <w:snapToGrid w:val="0"/>
        <w:ind w:firstLine="480"/>
        <w:rPr>
          <w:rFonts w:hint="eastAsia" w:ascii="宋体" w:hAnsi="宋体" w:cs="微软雅黑"/>
          <w:color w:val="auto"/>
        </w:rPr>
      </w:pPr>
      <w:r>
        <w:rPr>
          <w:rFonts w:hint="eastAsia" w:ascii="宋体" w:hAnsi="宋体" w:cs="微软雅黑"/>
          <w:color w:val="auto"/>
        </w:rPr>
        <w:t>附图8 一级泵房总平面布置图</w:t>
      </w:r>
    </w:p>
    <w:p w14:paraId="14AB27E4">
      <w:pPr>
        <w:adjustRightInd w:val="0"/>
        <w:snapToGrid w:val="0"/>
        <w:ind w:firstLine="480"/>
        <w:rPr>
          <w:rFonts w:hint="eastAsia" w:ascii="宋体" w:hAnsi="宋体" w:cs="微软雅黑"/>
          <w:color w:val="auto"/>
        </w:rPr>
      </w:pPr>
      <w:r>
        <w:rPr>
          <w:rFonts w:hint="eastAsia" w:ascii="宋体" w:hAnsi="宋体" w:cs="微软雅黑"/>
          <w:color w:val="auto"/>
        </w:rPr>
        <w:t>附图9 二级泵房总平面布置图</w:t>
      </w:r>
    </w:p>
    <w:p w14:paraId="73B4A7FF">
      <w:pPr>
        <w:adjustRightInd w:val="0"/>
        <w:snapToGrid w:val="0"/>
        <w:ind w:firstLine="480"/>
        <w:rPr>
          <w:rFonts w:hint="eastAsia" w:ascii="宋体" w:hAnsi="宋体" w:cs="微软雅黑"/>
          <w:color w:val="auto"/>
        </w:rPr>
      </w:pPr>
      <w:r>
        <w:rPr>
          <w:rFonts w:hint="eastAsia" w:ascii="宋体" w:hAnsi="宋体" w:cs="微软雅黑"/>
          <w:color w:val="auto"/>
        </w:rPr>
        <w:t>附图10 项目施工总布置图</w:t>
      </w:r>
    </w:p>
    <w:p w14:paraId="0C365D4C">
      <w:pPr>
        <w:adjustRightInd w:val="0"/>
        <w:snapToGrid w:val="0"/>
        <w:ind w:firstLine="480"/>
        <w:rPr>
          <w:rFonts w:hint="eastAsia" w:ascii="宋体" w:hAnsi="宋体" w:cs="微软雅黑"/>
          <w:color w:val="auto"/>
        </w:rPr>
      </w:pPr>
      <w:r>
        <w:rPr>
          <w:rFonts w:hint="eastAsia" w:ascii="宋体" w:hAnsi="宋体" w:cs="微软雅黑"/>
          <w:color w:val="auto"/>
        </w:rPr>
        <w:t>附图11 分析范围示意图</w:t>
      </w:r>
    </w:p>
    <w:p w14:paraId="540538CB">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1</w:t>
      </w:r>
      <w:r>
        <w:rPr>
          <w:rFonts w:hint="eastAsia" w:ascii="宋体" w:hAnsi="宋体" w:cs="微软雅黑"/>
          <w:color w:val="auto"/>
        </w:rPr>
        <w:t>2 取水水源论证范围示意图</w:t>
      </w:r>
    </w:p>
    <w:p w14:paraId="0E0DB83F">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1</w:t>
      </w:r>
      <w:r>
        <w:rPr>
          <w:rFonts w:hint="eastAsia" w:ascii="宋体" w:hAnsi="宋体" w:cs="微软雅黑"/>
          <w:color w:val="auto"/>
        </w:rPr>
        <w:t>3 取水影响论证范围示意图</w:t>
      </w:r>
    </w:p>
    <w:p w14:paraId="67426178">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1</w:t>
      </w:r>
      <w:r>
        <w:rPr>
          <w:rFonts w:hint="eastAsia" w:ascii="宋体" w:hAnsi="宋体" w:cs="微软雅黑"/>
          <w:color w:val="auto"/>
        </w:rPr>
        <w:t>4 退水影响论证范围示意图</w:t>
      </w:r>
    </w:p>
    <w:p w14:paraId="24BA5E61">
      <w:pPr>
        <w:adjustRightInd w:val="0"/>
        <w:snapToGrid w:val="0"/>
        <w:ind w:firstLine="480"/>
        <w:rPr>
          <w:rFonts w:hint="eastAsia" w:ascii="宋体" w:hAnsi="宋体" w:cs="微软雅黑"/>
          <w:color w:val="auto"/>
        </w:rPr>
      </w:pPr>
      <w:r>
        <w:rPr>
          <w:rFonts w:hint="eastAsia" w:ascii="宋体" w:hAnsi="宋体" w:cs="微软雅黑"/>
          <w:color w:val="auto"/>
        </w:rPr>
        <w:t>附图</w:t>
      </w:r>
      <w:r>
        <w:rPr>
          <w:rFonts w:ascii="宋体" w:hAnsi="宋体" w:cs="微软雅黑"/>
          <w:color w:val="auto"/>
        </w:rPr>
        <w:t>1</w:t>
      </w:r>
      <w:r>
        <w:rPr>
          <w:rFonts w:hint="eastAsia" w:ascii="宋体" w:hAnsi="宋体" w:cs="微软雅黑"/>
          <w:color w:val="auto"/>
        </w:rPr>
        <w:t>5 分区防治措施总体布局</w:t>
      </w:r>
    </w:p>
    <w:p w14:paraId="5273B88B">
      <w:pPr>
        <w:adjustRightInd w:val="0"/>
        <w:snapToGrid w:val="0"/>
        <w:ind w:firstLine="480"/>
        <w:rPr>
          <w:rFonts w:hint="eastAsia" w:ascii="宋体" w:hAnsi="宋体" w:cs="微软雅黑"/>
          <w:color w:val="auto"/>
        </w:rPr>
      </w:pPr>
      <w:r>
        <w:rPr>
          <w:rFonts w:hint="eastAsia" w:ascii="宋体" w:hAnsi="宋体" w:cs="微软雅黑"/>
          <w:color w:val="auto"/>
        </w:rPr>
        <w:t>附图16 管线工程区水土保持措施典型布设图1</w:t>
      </w:r>
    </w:p>
    <w:p w14:paraId="2309CA2F">
      <w:pPr>
        <w:adjustRightInd w:val="0"/>
        <w:snapToGrid w:val="0"/>
        <w:ind w:firstLine="480"/>
        <w:rPr>
          <w:rFonts w:hint="eastAsia" w:ascii="宋体" w:hAnsi="宋体" w:cs="微软雅黑"/>
          <w:color w:val="auto"/>
        </w:rPr>
      </w:pPr>
      <w:r>
        <w:rPr>
          <w:rFonts w:hint="eastAsia" w:ascii="宋体" w:hAnsi="宋体" w:cs="微软雅黑"/>
          <w:color w:val="auto"/>
        </w:rPr>
        <w:t>附图17 管线工程区水土保持措施典型布设图2</w:t>
      </w:r>
    </w:p>
    <w:p w14:paraId="22E8A6F0">
      <w:pPr>
        <w:adjustRightInd w:val="0"/>
        <w:snapToGrid w:val="0"/>
        <w:ind w:firstLine="480"/>
        <w:rPr>
          <w:rFonts w:hint="eastAsia" w:ascii="宋体" w:hAnsi="宋体" w:cs="微软雅黑"/>
          <w:color w:val="auto"/>
        </w:rPr>
      </w:pPr>
      <w:r>
        <w:rPr>
          <w:rFonts w:hint="eastAsia" w:ascii="宋体" w:hAnsi="宋体" w:cs="微软雅黑"/>
          <w:color w:val="auto"/>
        </w:rPr>
        <w:t>附图18 堆料场及施工生产生活区水土保持措施典型布设图</w:t>
      </w:r>
    </w:p>
    <w:p w14:paraId="475A4C71">
      <w:pPr>
        <w:adjustRightInd w:val="0"/>
        <w:snapToGrid w:val="0"/>
        <w:ind w:firstLine="480"/>
        <w:rPr>
          <w:rFonts w:hint="eastAsia" w:ascii="宋体" w:hAnsi="宋体" w:cs="微软雅黑"/>
          <w:color w:val="auto"/>
        </w:rPr>
      </w:pPr>
      <w:r>
        <w:rPr>
          <w:rFonts w:hint="eastAsia" w:ascii="宋体" w:hAnsi="宋体" w:cs="微软雅黑"/>
          <w:color w:val="auto"/>
        </w:rPr>
        <w:t>附图19 施工道路区水土保持措施典型布设图</w:t>
      </w:r>
    </w:p>
    <w:p w14:paraId="371C4B9E">
      <w:pPr>
        <w:adjustRightInd w:val="0"/>
        <w:snapToGrid w:val="0"/>
        <w:ind w:firstLine="480"/>
        <w:rPr>
          <w:rFonts w:hint="eastAsia" w:ascii="宋体" w:hAnsi="宋体" w:cs="微软雅黑"/>
          <w:color w:val="auto"/>
        </w:rPr>
      </w:pPr>
      <w:r>
        <w:rPr>
          <w:rFonts w:hint="eastAsia" w:ascii="宋体" w:hAnsi="宋体" w:cs="微软雅黑"/>
          <w:color w:val="auto"/>
        </w:rPr>
        <w:t>附图20 环保措施总体布置示意图</w:t>
      </w:r>
    </w:p>
    <w:p w14:paraId="437FDF22">
      <w:pPr>
        <w:adjustRightInd w:val="0"/>
        <w:snapToGrid w:val="0"/>
        <w:ind w:firstLine="480"/>
        <w:rPr>
          <w:rFonts w:hint="eastAsia" w:ascii="宋体" w:hAnsi="宋体" w:cs="微软雅黑"/>
          <w:color w:val="auto"/>
        </w:rPr>
      </w:pPr>
      <w:r>
        <w:rPr>
          <w:rFonts w:hint="eastAsia" w:ascii="宋体" w:hAnsi="宋体" w:cs="微软雅黑"/>
          <w:color w:val="auto"/>
        </w:rPr>
        <w:t>附图21 环境现状监测布点示意图</w:t>
      </w:r>
    </w:p>
    <w:p w14:paraId="6ABB8711">
      <w:pPr>
        <w:adjustRightInd w:val="0"/>
        <w:snapToGrid w:val="0"/>
        <w:ind w:firstLine="480"/>
        <w:rPr>
          <w:rFonts w:ascii="宋体" w:hAnsi="宋体" w:cs="微软雅黑"/>
          <w:color w:val="auto"/>
        </w:rPr>
      </w:pPr>
      <w:r>
        <w:rPr>
          <w:rFonts w:hint="eastAsia" w:ascii="宋体" w:hAnsi="宋体" w:cs="微软雅黑"/>
          <w:color w:val="auto"/>
        </w:rPr>
        <w:t>附图22 环境敏感目标分布示意图</w:t>
      </w:r>
    </w:p>
    <w:p w14:paraId="04BC489F">
      <w:pPr>
        <w:adjustRightInd w:val="0"/>
        <w:snapToGrid w:val="0"/>
        <w:spacing w:line="288" w:lineRule="auto"/>
        <w:jc w:val="center"/>
        <w:rPr>
          <w:rFonts w:eastAsia="楷体_GB2312"/>
          <w:color w:val="auto"/>
          <w:sz w:val="36"/>
          <w:szCs w:val="36"/>
        </w:rPr>
      </w:pPr>
    </w:p>
    <w:p w14:paraId="2BBA5ABD">
      <w:pPr>
        <w:adjustRightInd w:val="0"/>
        <w:snapToGrid w:val="0"/>
        <w:spacing w:line="288" w:lineRule="auto"/>
        <w:jc w:val="center"/>
        <w:rPr>
          <w:rFonts w:eastAsia="楷体_GB2312"/>
          <w:color w:val="auto"/>
          <w:sz w:val="36"/>
          <w:szCs w:val="36"/>
        </w:rPr>
      </w:pPr>
    </w:p>
    <w:p w14:paraId="7C0374C9">
      <w:pPr>
        <w:adjustRightInd w:val="0"/>
        <w:snapToGrid w:val="0"/>
        <w:spacing w:line="288" w:lineRule="auto"/>
        <w:jc w:val="center"/>
        <w:rPr>
          <w:rFonts w:eastAsia="楷体_GB2312"/>
          <w:color w:val="auto"/>
          <w:sz w:val="36"/>
          <w:szCs w:val="36"/>
        </w:rPr>
      </w:pPr>
    </w:p>
    <w:p w14:paraId="626FC9E7">
      <w:pPr>
        <w:adjustRightInd w:val="0"/>
        <w:snapToGrid w:val="0"/>
        <w:spacing w:line="288" w:lineRule="auto"/>
        <w:jc w:val="center"/>
        <w:rPr>
          <w:rFonts w:eastAsia="楷体_GB2312"/>
          <w:color w:val="auto"/>
          <w:sz w:val="36"/>
          <w:szCs w:val="36"/>
        </w:rPr>
      </w:pPr>
    </w:p>
    <w:p w14:paraId="27F55CEC">
      <w:pPr>
        <w:adjustRightInd w:val="0"/>
        <w:snapToGrid w:val="0"/>
        <w:spacing w:line="288" w:lineRule="auto"/>
        <w:jc w:val="center"/>
        <w:rPr>
          <w:rFonts w:eastAsia="楷体_GB2312"/>
          <w:color w:val="auto"/>
          <w:sz w:val="36"/>
          <w:szCs w:val="36"/>
        </w:rPr>
      </w:pPr>
    </w:p>
    <w:p w14:paraId="7CEC54F3">
      <w:pPr>
        <w:adjustRightInd w:val="0"/>
        <w:snapToGrid w:val="0"/>
        <w:spacing w:line="288" w:lineRule="auto"/>
        <w:jc w:val="center"/>
        <w:rPr>
          <w:rFonts w:eastAsia="楷体_GB2312"/>
          <w:color w:val="auto"/>
          <w:sz w:val="36"/>
          <w:szCs w:val="36"/>
        </w:rPr>
      </w:pPr>
    </w:p>
    <w:p w14:paraId="10EC911A">
      <w:pPr>
        <w:adjustRightInd w:val="0"/>
        <w:snapToGrid w:val="0"/>
        <w:spacing w:line="288" w:lineRule="auto"/>
        <w:jc w:val="center"/>
        <w:rPr>
          <w:rFonts w:eastAsia="楷体_GB2312"/>
          <w:color w:val="auto"/>
          <w:sz w:val="36"/>
          <w:szCs w:val="36"/>
        </w:rPr>
      </w:pPr>
    </w:p>
    <w:p w14:paraId="47859864">
      <w:pPr>
        <w:adjustRightInd w:val="0"/>
        <w:snapToGrid w:val="0"/>
        <w:spacing w:line="288" w:lineRule="auto"/>
        <w:rPr>
          <w:rFonts w:eastAsia="仿宋_GB2312"/>
          <w:color w:val="auto"/>
          <w:sz w:val="36"/>
          <w:szCs w:val="36"/>
        </w:rPr>
        <w:sectPr>
          <w:pgSz w:w="11906" w:h="16838"/>
          <w:pgMar w:top="1701" w:right="1531" w:bottom="1701" w:left="1531" w:header="851" w:footer="1077" w:gutter="0"/>
          <w:pgNumType w:start="21"/>
          <w:cols w:space="720" w:num="1"/>
          <w:docGrid w:linePitch="312" w:charSpace="0"/>
        </w:sectPr>
      </w:pPr>
    </w:p>
    <w:p w14:paraId="6B341E0D">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一、建设项目基本情况</w:t>
      </w:r>
    </w:p>
    <w:tbl>
      <w:tblPr>
        <w:tblStyle w:val="12"/>
        <w:tblW w:w="9744"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33"/>
        <w:gridCol w:w="2657"/>
        <w:gridCol w:w="2490"/>
        <w:gridCol w:w="8"/>
        <w:gridCol w:w="3456"/>
      </w:tblGrid>
      <w:tr w14:paraId="05EC45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62" w:hRule="atLeast"/>
        </w:trPr>
        <w:tc>
          <w:tcPr>
            <w:tcW w:w="1133" w:type="dxa"/>
            <w:tcMar>
              <w:top w:w="16" w:type="dxa"/>
              <w:left w:w="16" w:type="dxa"/>
              <w:right w:w="16" w:type="dxa"/>
            </w:tcMar>
            <w:vAlign w:val="center"/>
          </w:tcPr>
          <w:p w14:paraId="4971BDE0">
            <w:pPr>
              <w:adjustRightInd w:val="0"/>
              <w:snapToGrid w:val="0"/>
              <w:spacing w:line="240" w:lineRule="auto"/>
              <w:ind w:firstLine="0" w:firstLineChars="0"/>
              <w:jc w:val="center"/>
              <w:rPr>
                <w:color w:val="auto"/>
              </w:rPr>
            </w:pPr>
            <w:r>
              <w:rPr>
                <w:color w:val="auto"/>
              </w:rPr>
              <w:t>建设项目名称</w:t>
            </w:r>
          </w:p>
        </w:tc>
        <w:tc>
          <w:tcPr>
            <w:tcW w:w="8611" w:type="dxa"/>
            <w:gridSpan w:val="4"/>
            <w:vAlign w:val="center"/>
          </w:tcPr>
          <w:p w14:paraId="2B8E1C9C">
            <w:pPr>
              <w:adjustRightInd w:val="0"/>
              <w:snapToGrid w:val="0"/>
              <w:spacing w:line="240" w:lineRule="auto"/>
              <w:ind w:firstLine="0" w:firstLineChars="0"/>
              <w:jc w:val="center"/>
              <w:rPr>
                <w:color w:val="auto"/>
              </w:rPr>
            </w:pPr>
            <w:r>
              <w:rPr>
                <w:color w:val="auto"/>
              </w:rPr>
              <w:t>通江县铁佛镇移民安置区饮水管网及灌溉水利设施建设工程</w:t>
            </w:r>
          </w:p>
        </w:tc>
      </w:tr>
      <w:tr w14:paraId="0A332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tcMar>
              <w:top w:w="16" w:type="dxa"/>
              <w:left w:w="16" w:type="dxa"/>
              <w:right w:w="16" w:type="dxa"/>
            </w:tcMar>
            <w:vAlign w:val="center"/>
          </w:tcPr>
          <w:p w14:paraId="54265AD0">
            <w:pPr>
              <w:adjustRightInd w:val="0"/>
              <w:snapToGrid w:val="0"/>
              <w:spacing w:line="240" w:lineRule="auto"/>
              <w:ind w:firstLine="0" w:firstLineChars="0"/>
              <w:jc w:val="center"/>
              <w:rPr>
                <w:color w:val="auto"/>
              </w:rPr>
            </w:pPr>
            <w:r>
              <w:rPr>
                <w:color w:val="auto"/>
              </w:rPr>
              <w:t>项目代码</w:t>
            </w:r>
          </w:p>
        </w:tc>
        <w:tc>
          <w:tcPr>
            <w:tcW w:w="8611" w:type="dxa"/>
            <w:gridSpan w:val="4"/>
            <w:vAlign w:val="center"/>
          </w:tcPr>
          <w:p w14:paraId="5E76AF62">
            <w:pPr>
              <w:adjustRightInd w:val="0"/>
              <w:snapToGrid w:val="0"/>
              <w:spacing w:line="240" w:lineRule="auto"/>
              <w:ind w:firstLine="0" w:firstLineChars="0"/>
              <w:jc w:val="center"/>
              <w:rPr>
                <w:color w:val="auto"/>
              </w:rPr>
            </w:pPr>
            <w:r>
              <w:rPr>
                <w:color w:val="auto"/>
              </w:rPr>
              <w:t>2411-511921-04-01-293625</w:t>
            </w:r>
          </w:p>
        </w:tc>
      </w:tr>
      <w:tr w14:paraId="45455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133" w:type="dxa"/>
            <w:tcMar>
              <w:top w:w="16" w:type="dxa"/>
              <w:left w:w="16" w:type="dxa"/>
              <w:right w:w="16" w:type="dxa"/>
            </w:tcMar>
            <w:vAlign w:val="center"/>
          </w:tcPr>
          <w:p w14:paraId="67DC5571">
            <w:pPr>
              <w:adjustRightInd w:val="0"/>
              <w:snapToGrid w:val="0"/>
              <w:spacing w:line="240" w:lineRule="auto"/>
              <w:ind w:firstLine="0" w:firstLineChars="0"/>
              <w:jc w:val="center"/>
              <w:rPr>
                <w:color w:val="auto"/>
              </w:rPr>
            </w:pPr>
            <w:r>
              <w:rPr>
                <w:color w:val="auto"/>
              </w:rPr>
              <w:t>建设单位联系人</w:t>
            </w:r>
          </w:p>
        </w:tc>
        <w:tc>
          <w:tcPr>
            <w:tcW w:w="2657" w:type="dxa"/>
            <w:vAlign w:val="center"/>
          </w:tcPr>
          <w:p w14:paraId="0AC6C2EB">
            <w:pPr>
              <w:adjustRightInd w:val="0"/>
              <w:snapToGrid w:val="0"/>
              <w:spacing w:line="240" w:lineRule="auto"/>
              <w:ind w:firstLine="0" w:firstLineChars="0"/>
              <w:jc w:val="center"/>
              <w:rPr>
                <w:rFonts w:hint="default" w:eastAsia="宋体"/>
                <w:color w:val="auto"/>
                <w:lang w:val="en-US" w:eastAsia="zh-CN"/>
              </w:rPr>
            </w:pPr>
            <w:r>
              <w:rPr>
                <w:rFonts w:hint="eastAsia"/>
                <w:color w:val="auto"/>
              </w:rPr>
              <w:t>何</w:t>
            </w:r>
            <w:r>
              <w:rPr>
                <w:rFonts w:hint="eastAsia"/>
                <w:color w:val="auto"/>
                <w:lang w:val="en-US" w:eastAsia="zh-CN"/>
              </w:rPr>
              <w:t>**</w:t>
            </w:r>
          </w:p>
        </w:tc>
        <w:tc>
          <w:tcPr>
            <w:tcW w:w="2498" w:type="dxa"/>
            <w:gridSpan w:val="2"/>
            <w:vAlign w:val="center"/>
          </w:tcPr>
          <w:p w14:paraId="0630764F">
            <w:pPr>
              <w:adjustRightInd w:val="0"/>
              <w:snapToGrid w:val="0"/>
              <w:spacing w:line="240" w:lineRule="auto"/>
              <w:ind w:firstLine="0" w:firstLineChars="0"/>
              <w:jc w:val="center"/>
              <w:rPr>
                <w:color w:val="auto"/>
              </w:rPr>
            </w:pPr>
            <w:r>
              <w:rPr>
                <w:color w:val="auto"/>
              </w:rPr>
              <w:t>联系方式</w:t>
            </w:r>
          </w:p>
        </w:tc>
        <w:tc>
          <w:tcPr>
            <w:tcW w:w="3456" w:type="dxa"/>
            <w:vAlign w:val="center"/>
          </w:tcPr>
          <w:p w14:paraId="0C376C60">
            <w:pPr>
              <w:adjustRightInd w:val="0"/>
              <w:snapToGrid w:val="0"/>
              <w:spacing w:line="240" w:lineRule="auto"/>
              <w:ind w:firstLine="0" w:firstLineChars="0"/>
              <w:jc w:val="center"/>
              <w:rPr>
                <w:color w:val="auto"/>
              </w:rPr>
            </w:pPr>
            <w:r>
              <w:rPr>
                <w:rFonts w:hint="eastAsia"/>
                <w:color w:val="auto"/>
              </w:rPr>
              <w:t>13</w:t>
            </w:r>
            <w:r>
              <w:rPr>
                <w:rFonts w:hint="eastAsia"/>
                <w:color w:val="auto"/>
                <w:lang w:val="en-US" w:eastAsia="zh-CN"/>
              </w:rPr>
              <w:t>******</w:t>
            </w:r>
            <w:r>
              <w:rPr>
                <w:rFonts w:hint="eastAsia"/>
                <w:color w:val="auto"/>
              </w:rPr>
              <w:t>66</w:t>
            </w:r>
          </w:p>
        </w:tc>
      </w:tr>
      <w:tr w14:paraId="2BC993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133" w:type="dxa"/>
            <w:tcMar>
              <w:top w:w="16" w:type="dxa"/>
              <w:left w:w="16" w:type="dxa"/>
              <w:right w:w="16" w:type="dxa"/>
            </w:tcMar>
            <w:vAlign w:val="center"/>
          </w:tcPr>
          <w:p w14:paraId="0F38BB16">
            <w:pPr>
              <w:adjustRightInd w:val="0"/>
              <w:snapToGrid w:val="0"/>
              <w:spacing w:line="240" w:lineRule="auto"/>
              <w:ind w:firstLine="0" w:firstLineChars="0"/>
              <w:jc w:val="center"/>
              <w:rPr>
                <w:color w:val="auto"/>
              </w:rPr>
            </w:pPr>
            <w:r>
              <w:rPr>
                <w:color w:val="auto"/>
              </w:rPr>
              <w:t>建设地点</w:t>
            </w:r>
          </w:p>
        </w:tc>
        <w:tc>
          <w:tcPr>
            <w:tcW w:w="8611" w:type="dxa"/>
            <w:gridSpan w:val="4"/>
            <w:vAlign w:val="center"/>
          </w:tcPr>
          <w:p w14:paraId="0E6DF7D6">
            <w:pPr>
              <w:adjustRightInd w:val="0"/>
              <w:snapToGrid w:val="0"/>
              <w:spacing w:line="240" w:lineRule="auto"/>
              <w:ind w:firstLine="0" w:firstLineChars="0"/>
              <w:jc w:val="center"/>
              <w:rPr>
                <w:color w:val="auto"/>
              </w:rPr>
            </w:pPr>
            <w:r>
              <w:rPr>
                <w:color w:val="auto"/>
                <w:u w:val="single"/>
              </w:rPr>
              <w:t>四川</w:t>
            </w:r>
            <w:r>
              <w:rPr>
                <w:color w:val="auto"/>
              </w:rPr>
              <w:t>省</w:t>
            </w:r>
            <w:r>
              <w:rPr>
                <w:rFonts w:hint="eastAsia"/>
                <w:color w:val="auto"/>
                <w:u w:val="single"/>
              </w:rPr>
              <w:t>巴中</w:t>
            </w:r>
            <w:r>
              <w:rPr>
                <w:color w:val="auto"/>
              </w:rPr>
              <w:t>市</w:t>
            </w:r>
            <w:r>
              <w:rPr>
                <w:rFonts w:hint="eastAsia"/>
                <w:color w:val="auto"/>
                <w:u w:val="single"/>
              </w:rPr>
              <w:t>通江</w:t>
            </w:r>
            <w:r>
              <w:rPr>
                <w:color w:val="auto"/>
              </w:rPr>
              <w:t>（</w:t>
            </w:r>
            <w:r>
              <w:rPr>
                <w:rFonts w:hint="eastAsia"/>
                <w:color w:val="auto"/>
              </w:rPr>
              <w:t>县</w:t>
            </w:r>
            <w:r>
              <w:rPr>
                <w:color w:val="auto"/>
              </w:rPr>
              <w:t>）</w:t>
            </w:r>
            <w:r>
              <w:rPr>
                <w:rFonts w:hint="eastAsia"/>
                <w:color w:val="auto"/>
                <w:u w:val="single"/>
              </w:rPr>
              <w:t>铁佛镇</w:t>
            </w:r>
          </w:p>
        </w:tc>
      </w:tr>
      <w:tr w14:paraId="2A8F6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tcMar>
              <w:top w:w="16" w:type="dxa"/>
              <w:left w:w="16" w:type="dxa"/>
              <w:right w:w="16" w:type="dxa"/>
            </w:tcMar>
            <w:vAlign w:val="center"/>
          </w:tcPr>
          <w:p w14:paraId="6F1D156C">
            <w:pPr>
              <w:adjustRightInd w:val="0"/>
              <w:snapToGrid w:val="0"/>
              <w:spacing w:line="240" w:lineRule="auto"/>
              <w:ind w:firstLine="0" w:firstLineChars="0"/>
              <w:jc w:val="center"/>
              <w:rPr>
                <w:color w:val="auto"/>
              </w:rPr>
            </w:pPr>
            <w:r>
              <w:rPr>
                <w:color w:val="auto"/>
              </w:rPr>
              <w:t>地理坐标</w:t>
            </w:r>
          </w:p>
        </w:tc>
        <w:tc>
          <w:tcPr>
            <w:tcW w:w="8611" w:type="dxa"/>
            <w:gridSpan w:val="4"/>
            <w:vAlign w:val="center"/>
          </w:tcPr>
          <w:p w14:paraId="49CBCD4A">
            <w:pPr>
              <w:adjustRightInd w:val="0"/>
              <w:snapToGrid w:val="0"/>
              <w:spacing w:line="240" w:lineRule="auto"/>
              <w:ind w:firstLine="0" w:firstLineChars="0"/>
              <w:jc w:val="center"/>
              <w:rPr>
                <w:color w:val="auto"/>
              </w:rPr>
            </w:pPr>
            <w:r>
              <w:rPr>
                <w:rFonts w:hint="eastAsia"/>
                <w:color w:val="auto"/>
              </w:rPr>
              <w:t>E107.258181°~107.349064°，N31.690056°~31.865888°</w:t>
            </w:r>
          </w:p>
        </w:tc>
      </w:tr>
      <w:tr w14:paraId="1B49DF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133" w:type="dxa"/>
            <w:tcMar>
              <w:top w:w="16" w:type="dxa"/>
              <w:left w:w="16" w:type="dxa"/>
              <w:right w:w="16" w:type="dxa"/>
            </w:tcMar>
            <w:vAlign w:val="center"/>
          </w:tcPr>
          <w:p w14:paraId="5BC36546">
            <w:pPr>
              <w:adjustRightInd w:val="0"/>
              <w:snapToGrid w:val="0"/>
              <w:spacing w:line="240" w:lineRule="auto"/>
              <w:ind w:firstLine="0" w:firstLineChars="0"/>
              <w:jc w:val="center"/>
              <w:rPr>
                <w:color w:val="auto"/>
              </w:rPr>
            </w:pPr>
            <w:r>
              <w:rPr>
                <w:color w:val="auto"/>
              </w:rPr>
              <w:t>建设项目</w:t>
            </w:r>
            <w:r>
              <w:rPr>
                <w:rFonts w:hint="eastAsia"/>
                <w:color w:val="auto"/>
              </w:rPr>
              <w:t>/</w:t>
            </w:r>
            <w:r>
              <w:rPr>
                <w:color w:val="auto"/>
              </w:rPr>
              <w:t>行业类别</w:t>
            </w:r>
          </w:p>
        </w:tc>
        <w:tc>
          <w:tcPr>
            <w:tcW w:w="2657" w:type="dxa"/>
            <w:vAlign w:val="center"/>
          </w:tcPr>
          <w:p w14:paraId="72110F29">
            <w:pPr>
              <w:adjustRightInd w:val="0"/>
              <w:snapToGrid w:val="0"/>
              <w:spacing w:line="240" w:lineRule="auto"/>
              <w:ind w:firstLine="0" w:firstLineChars="0"/>
              <w:jc w:val="center"/>
              <w:rPr>
                <w:color w:val="auto"/>
              </w:rPr>
            </w:pPr>
            <w:r>
              <w:rPr>
                <w:color w:val="auto"/>
              </w:rPr>
              <w:t>五十一水利，12</w:t>
            </w:r>
            <w:r>
              <w:rPr>
                <w:rFonts w:hint="eastAsia"/>
                <w:color w:val="auto"/>
              </w:rPr>
              <w:t>6</w:t>
            </w:r>
            <w:r>
              <w:rPr>
                <w:color w:val="auto"/>
              </w:rPr>
              <w:t>.</w:t>
            </w:r>
            <w:r>
              <w:rPr>
                <w:rFonts w:hint="eastAsia"/>
                <w:color w:val="auto"/>
              </w:rPr>
              <w:t>引水</w:t>
            </w:r>
            <w:r>
              <w:rPr>
                <w:color w:val="auto"/>
              </w:rPr>
              <w:t>工程</w:t>
            </w:r>
            <w:r>
              <w:rPr>
                <w:rFonts w:hint="eastAsia"/>
                <w:color w:val="auto"/>
              </w:rPr>
              <w:t>--</w:t>
            </w:r>
            <w:r>
              <w:rPr>
                <w:color w:val="auto"/>
              </w:rPr>
              <w:t>其他；</w:t>
            </w:r>
          </w:p>
        </w:tc>
        <w:tc>
          <w:tcPr>
            <w:tcW w:w="2490" w:type="dxa"/>
            <w:vAlign w:val="center"/>
          </w:tcPr>
          <w:p w14:paraId="137F84D8">
            <w:pPr>
              <w:adjustRightInd w:val="0"/>
              <w:snapToGrid w:val="0"/>
              <w:spacing w:line="240" w:lineRule="auto"/>
              <w:ind w:firstLine="0" w:firstLineChars="0"/>
              <w:jc w:val="center"/>
              <w:rPr>
                <w:color w:val="auto"/>
              </w:rPr>
            </w:pPr>
            <w:r>
              <w:rPr>
                <w:color w:val="auto"/>
              </w:rPr>
              <w:t>用地（用海）面积（m</w:t>
            </w:r>
            <w:r>
              <w:rPr>
                <w:color w:val="auto"/>
                <w:vertAlign w:val="superscript"/>
              </w:rPr>
              <w:t>2</w:t>
            </w:r>
            <w:r>
              <w:rPr>
                <w:color w:val="auto"/>
              </w:rPr>
              <w:t>）/长度（km）</w:t>
            </w:r>
          </w:p>
        </w:tc>
        <w:tc>
          <w:tcPr>
            <w:tcW w:w="3464" w:type="dxa"/>
            <w:gridSpan w:val="2"/>
            <w:vAlign w:val="center"/>
          </w:tcPr>
          <w:p w14:paraId="1E180A25">
            <w:pPr>
              <w:adjustRightInd w:val="0"/>
              <w:snapToGrid w:val="0"/>
              <w:spacing w:line="240" w:lineRule="auto"/>
              <w:ind w:firstLine="0" w:firstLineChars="0"/>
              <w:jc w:val="center"/>
              <w:rPr>
                <w:color w:val="auto"/>
              </w:rPr>
            </w:pPr>
            <w:r>
              <w:rPr>
                <w:rFonts w:hint="eastAsia"/>
                <w:color w:val="auto"/>
              </w:rPr>
              <w:t>90100</w:t>
            </w:r>
            <w:r>
              <w:rPr>
                <w:color w:val="auto"/>
              </w:rPr>
              <w:t>m</w:t>
            </w:r>
            <w:r>
              <w:rPr>
                <w:color w:val="auto"/>
                <w:vertAlign w:val="superscript"/>
              </w:rPr>
              <w:t>2</w:t>
            </w:r>
          </w:p>
        </w:tc>
      </w:tr>
      <w:tr w14:paraId="58E52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133" w:type="dxa"/>
            <w:tcMar>
              <w:top w:w="16" w:type="dxa"/>
              <w:left w:w="16" w:type="dxa"/>
              <w:right w:w="16" w:type="dxa"/>
            </w:tcMar>
            <w:vAlign w:val="center"/>
          </w:tcPr>
          <w:p w14:paraId="7C0A0BC1">
            <w:pPr>
              <w:adjustRightInd w:val="0"/>
              <w:snapToGrid w:val="0"/>
              <w:spacing w:line="240" w:lineRule="auto"/>
              <w:ind w:firstLine="0" w:firstLineChars="0"/>
              <w:jc w:val="center"/>
              <w:rPr>
                <w:color w:val="auto"/>
              </w:rPr>
            </w:pPr>
            <w:r>
              <w:rPr>
                <w:color w:val="auto"/>
              </w:rPr>
              <w:t>建设性质</w:t>
            </w:r>
          </w:p>
        </w:tc>
        <w:tc>
          <w:tcPr>
            <w:tcW w:w="2657" w:type="dxa"/>
            <w:vAlign w:val="center"/>
          </w:tcPr>
          <w:p w14:paraId="2871F4AF">
            <w:pPr>
              <w:adjustRightInd w:val="0"/>
              <w:snapToGrid w:val="0"/>
              <w:spacing w:line="240" w:lineRule="auto"/>
              <w:ind w:firstLine="0" w:firstLineChars="0"/>
              <w:jc w:val="left"/>
              <w:rPr>
                <w:color w:val="auto"/>
              </w:rPr>
            </w:pPr>
            <w:r>
              <w:rPr>
                <w:color w:val="auto"/>
              </w:rPr>
              <w:t>☑新建（迁建）</w:t>
            </w:r>
          </w:p>
          <w:p w14:paraId="36C4A3EF">
            <w:pPr>
              <w:adjustRightInd w:val="0"/>
              <w:snapToGrid w:val="0"/>
              <w:spacing w:line="240" w:lineRule="auto"/>
              <w:ind w:firstLine="0" w:firstLineChars="0"/>
              <w:jc w:val="left"/>
              <w:rPr>
                <w:color w:val="auto"/>
              </w:rPr>
            </w:pPr>
            <w:r>
              <w:rPr>
                <w:color w:val="auto"/>
              </w:rPr>
              <w:t>□改建</w:t>
            </w:r>
          </w:p>
          <w:p w14:paraId="30D1D0CE">
            <w:pPr>
              <w:adjustRightInd w:val="0"/>
              <w:snapToGrid w:val="0"/>
              <w:spacing w:line="240" w:lineRule="auto"/>
              <w:ind w:firstLine="0" w:firstLineChars="0"/>
              <w:jc w:val="left"/>
              <w:rPr>
                <w:color w:val="auto"/>
              </w:rPr>
            </w:pPr>
            <w:r>
              <w:rPr>
                <w:color w:val="auto"/>
              </w:rPr>
              <w:t>□扩建</w:t>
            </w:r>
          </w:p>
          <w:p w14:paraId="7C444586">
            <w:pPr>
              <w:adjustRightInd w:val="0"/>
              <w:snapToGrid w:val="0"/>
              <w:spacing w:line="240" w:lineRule="auto"/>
              <w:ind w:firstLine="0" w:firstLineChars="0"/>
              <w:jc w:val="left"/>
              <w:rPr>
                <w:color w:val="auto"/>
              </w:rPr>
            </w:pPr>
            <w:r>
              <w:rPr>
                <w:color w:val="auto"/>
              </w:rPr>
              <w:t>□技术改造</w:t>
            </w:r>
          </w:p>
        </w:tc>
        <w:tc>
          <w:tcPr>
            <w:tcW w:w="2490" w:type="dxa"/>
            <w:vAlign w:val="center"/>
          </w:tcPr>
          <w:p w14:paraId="622C2BF3">
            <w:pPr>
              <w:adjustRightInd w:val="0"/>
              <w:snapToGrid w:val="0"/>
              <w:spacing w:line="240" w:lineRule="auto"/>
              <w:ind w:firstLine="0" w:firstLineChars="0"/>
              <w:jc w:val="center"/>
              <w:rPr>
                <w:color w:val="auto"/>
              </w:rPr>
            </w:pPr>
            <w:r>
              <w:rPr>
                <w:color w:val="auto"/>
              </w:rPr>
              <w:t>建设项目</w:t>
            </w:r>
          </w:p>
          <w:p w14:paraId="539EF64C">
            <w:pPr>
              <w:adjustRightInd w:val="0"/>
              <w:snapToGrid w:val="0"/>
              <w:spacing w:line="240" w:lineRule="auto"/>
              <w:ind w:firstLine="0" w:firstLineChars="0"/>
              <w:jc w:val="center"/>
              <w:rPr>
                <w:color w:val="auto"/>
              </w:rPr>
            </w:pPr>
            <w:r>
              <w:rPr>
                <w:color w:val="auto"/>
              </w:rPr>
              <w:t>申报情形</w:t>
            </w:r>
          </w:p>
        </w:tc>
        <w:tc>
          <w:tcPr>
            <w:tcW w:w="3464" w:type="dxa"/>
            <w:gridSpan w:val="2"/>
            <w:vAlign w:val="center"/>
          </w:tcPr>
          <w:p w14:paraId="145BA677">
            <w:pPr>
              <w:adjustRightInd w:val="0"/>
              <w:snapToGrid w:val="0"/>
              <w:spacing w:line="240" w:lineRule="auto"/>
              <w:ind w:firstLine="0" w:firstLineChars="0"/>
              <w:jc w:val="left"/>
              <w:rPr>
                <w:color w:val="auto"/>
              </w:rPr>
            </w:pPr>
            <w:r>
              <w:rPr>
                <w:color w:val="auto"/>
              </w:rPr>
              <w:t>☑首次申报项目</w:t>
            </w:r>
          </w:p>
          <w:p w14:paraId="1B0DE971">
            <w:pPr>
              <w:adjustRightInd w:val="0"/>
              <w:snapToGrid w:val="0"/>
              <w:spacing w:line="240" w:lineRule="auto"/>
              <w:ind w:firstLine="0" w:firstLineChars="0"/>
              <w:jc w:val="left"/>
              <w:rPr>
                <w:color w:val="auto"/>
              </w:rPr>
            </w:pPr>
            <w:r>
              <w:rPr>
                <w:color w:val="auto"/>
              </w:rPr>
              <w:t>□不予批准后再次申报项目</w:t>
            </w:r>
          </w:p>
          <w:p w14:paraId="7FC14F17">
            <w:pPr>
              <w:adjustRightInd w:val="0"/>
              <w:snapToGrid w:val="0"/>
              <w:spacing w:line="240" w:lineRule="auto"/>
              <w:ind w:firstLine="0" w:firstLineChars="0"/>
              <w:jc w:val="left"/>
              <w:rPr>
                <w:color w:val="auto"/>
              </w:rPr>
            </w:pPr>
            <w:r>
              <w:rPr>
                <w:color w:val="auto"/>
              </w:rPr>
              <w:t>□超五年重新审核项目</w:t>
            </w:r>
          </w:p>
          <w:p w14:paraId="36042AA7">
            <w:pPr>
              <w:adjustRightInd w:val="0"/>
              <w:snapToGrid w:val="0"/>
              <w:spacing w:line="240" w:lineRule="auto"/>
              <w:ind w:firstLine="0" w:firstLineChars="0"/>
              <w:rPr>
                <w:color w:val="auto"/>
              </w:rPr>
            </w:pPr>
            <w:r>
              <w:rPr>
                <w:color w:val="auto"/>
              </w:rPr>
              <w:t>□重大变动重新报批项目</w:t>
            </w:r>
          </w:p>
        </w:tc>
      </w:tr>
      <w:tr w14:paraId="299D12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133" w:type="dxa"/>
            <w:tcMar>
              <w:top w:w="16" w:type="dxa"/>
              <w:left w:w="16" w:type="dxa"/>
              <w:right w:w="16" w:type="dxa"/>
            </w:tcMar>
            <w:vAlign w:val="center"/>
          </w:tcPr>
          <w:p w14:paraId="6A389D96">
            <w:pPr>
              <w:adjustRightInd w:val="0"/>
              <w:snapToGrid w:val="0"/>
              <w:spacing w:line="240" w:lineRule="auto"/>
              <w:ind w:firstLine="0" w:firstLineChars="0"/>
              <w:jc w:val="center"/>
              <w:rPr>
                <w:color w:val="auto"/>
              </w:rPr>
            </w:pPr>
            <w:r>
              <w:rPr>
                <w:color w:val="auto"/>
              </w:rPr>
              <w:t>项目审批（核准/备案）部门（选填）</w:t>
            </w:r>
          </w:p>
        </w:tc>
        <w:tc>
          <w:tcPr>
            <w:tcW w:w="2657" w:type="dxa"/>
            <w:vAlign w:val="center"/>
          </w:tcPr>
          <w:p w14:paraId="4BB22BB9">
            <w:pPr>
              <w:adjustRightInd w:val="0"/>
              <w:snapToGrid w:val="0"/>
              <w:spacing w:line="240" w:lineRule="auto"/>
              <w:ind w:firstLine="0" w:firstLineChars="0"/>
              <w:jc w:val="center"/>
              <w:rPr>
                <w:color w:val="auto"/>
              </w:rPr>
            </w:pPr>
            <w:r>
              <w:rPr>
                <w:rFonts w:hint="eastAsia"/>
                <w:color w:val="auto"/>
              </w:rPr>
              <w:t>巴中市水利局/</w:t>
            </w:r>
          </w:p>
          <w:p w14:paraId="19026713">
            <w:pPr>
              <w:adjustRightInd w:val="0"/>
              <w:snapToGrid w:val="0"/>
              <w:spacing w:line="240" w:lineRule="auto"/>
              <w:ind w:firstLine="0" w:firstLineChars="0"/>
              <w:jc w:val="center"/>
              <w:rPr>
                <w:color w:val="auto"/>
              </w:rPr>
            </w:pPr>
            <w:r>
              <w:rPr>
                <w:color w:val="auto"/>
              </w:rPr>
              <w:t>通江县发展和改革局</w:t>
            </w:r>
          </w:p>
        </w:tc>
        <w:tc>
          <w:tcPr>
            <w:tcW w:w="2490" w:type="dxa"/>
            <w:vAlign w:val="center"/>
          </w:tcPr>
          <w:p w14:paraId="0C3906BE">
            <w:pPr>
              <w:adjustRightInd w:val="0"/>
              <w:snapToGrid w:val="0"/>
              <w:spacing w:line="240" w:lineRule="auto"/>
              <w:ind w:firstLine="0" w:firstLineChars="0"/>
              <w:jc w:val="center"/>
              <w:rPr>
                <w:color w:val="auto"/>
              </w:rPr>
            </w:pPr>
            <w:r>
              <w:rPr>
                <w:color w:val="auto"/>
              </w:rPr>
              <w:t>项目审批（核准/</w:t>
            </w:r>
          </w:p>
          <w:p w14:paraId="02C45B67">
            <w:pPr>
              <w:adjustRightInd w:val="0"/>
              <w:snapToGrid w:val="0"/>
              <w:spacing w:line="240" w:lineRule="auto"/>
              <w:ind w:firstLine="0" w:firstLineChars="0"/>
              <w:jc w:val="center"/>
              <w:rPr>
                <w:color w:val="auto"/>
              </w:rPr>
            </w:pPr>
            <w:r>
              <w:rPr>
                <w:color w:val="auto"/>
              </w:rPr>
              <w:t>备案）文号（选填）</w:t>
            </w:r>
          </w:p>
        </w:tc>
        <w:tc>
          <w:tcPr>
            <w:tcW w:w="3464" w:type="dxa"/>
            <w:gridSpan w:val="2"/>
            <w:vAlign w:val="center"/>
          </w:tcPr>
          <w:p w14:paraId="548F39ED">
            <w:pPr>
              <w:adjustRightInd w:val="0"/>
              <w:snapToGrid w:val="0"/>
              <w:spacing w:line="240" w:lineRule="auto"/>
              <w:ind w:firstLine="0" w:firstLineChars="0"/>
              <w:jc w:val="center"/>
              <w:rPr>
                <w:color w:val="auto"/>
              </w:rPr>
            </w:pPr>
            <w:r>
              <w:rPr>
                <w:color w:val="auto"/>
              </w:rPr>
              <w:t>巴市水函〔2025〕71号</w:t>
            </w:r>
            <w:r>
              <w:rPr>
                <w:rFonts w:hint="eastAsia"/>
                <w:color w:val="auto"/>
              </w:rPr>
              <w:t>/</w:t>
            </w:r>
          </w:p>
          <w:p w14:paraId="41F3309F">
            <w:pPr>
              <w:adjustRightInd w:val="0"/>
              <w:snapToGrid w:val="0"/>
              <w:spacing w:line="240" w:lineRule="auto"/>
              <w:ind w:firstLine="0" w:firstLineChars="0"/>
              <w:jc w:val="center"/>
              <w:rPr>
                <w:color w:val="auto"/>
              </w:rPr>
            </w:pPr>
            <w:r>
              <w:rPr>
                <w:rFonts w:hint="eastAsia"/>
                <w:color w:val="auto"/>
              </w:rPr>
              <w:t>通发改〔2024</w:t>
            </w:r>
            <w:r>
              <w:rPr>
                <w:color w:val="auto"/>
              </w:rPr>
              <w:t>〕</w:t>
            </w:r>
            <w:r>
              <w:rPr>
                <w:rFonts w:hint="eastAsia"/>
                <w:color w:val="auto"/>
              </w:rPr>
              <w:t>450号</w:t>
            </w:r>
          </w:p>
        </w:tc>
      </w:tr>
      <w:tr w14:paraId="63977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133" w:type="dxa"/>
            <w:tcMar>
              <w:top w:w="16" w:type="dxa"/>
              <w:left w:w="16" w:type="dxa"/>
              <w:right w:w="16" w:type="dxa"/>
            </w:tcMar>
            <w:vAlign w:val="center"/>
          </w:tcPr>
          <w:p w14:paraId="09CAD98A">
            <w:pPr>
              <w:adjustRightInd w:val="0"/>
              <w:snapToGrid w:val="0"/>
              <w:spacing w:line="240" w:lineRule="auto"/>
              <w:ind w:firstLine="0" w:firstLineChars="0"/>
              <w:jc w:val="center"/>
              <w:rPr>
                <w:color w:val="auto"/>
              </w:rPr>
            </w:pPr>
            <w:r>
              <w:rPr>
                <w:color w:val="auto"/>
              </w:rPr>
              <w:t>总投资（万元）</w:t>
            </w:r>
          </w:p>
        </w:tc>
        <w:tc>
          <w:tcPr>
            <w:tcW w:w="2657" w:type="dxa"/>
            <w:vAlign w:val="center"/>
          </w:tcPr>
          <w:p w14:paraId="460841EC">
            <w:pPr>
              <w:ind w:firstLine="0" w:firstLineChars="0"/>
              <w:jc w:val="center"/>
              <w:rPr>
                <w:color w:val="auto"/>
              </w:rPr>
            </w:pPr>
            <w:r>
              <w:rPr>
                <w:rFonts w:hint="eastAsia"/>
                <w:color w:val="auto"/>
              </w:rPr>
              <w:t>3904.70</w:t>
            </w:r>
          </w:p>
        </w:tc>
        <w:tc>
          <w:tcPr>
            <w:tcW w:w="2490" w:type="dxa"/>
            <w:tcMar>
              <w:top w:w="16" w:type="dxa"/>
              <w:left w:w="16" w:type="dxa"/>
              <w:right w:w="16" w:type="dxa"/>
            </w:tcMar>
            <w:vAlign w:val="center"/>
          </w:tcPr>
          <w:p w14:paraId="45D5DCD1">
            <w:pPr>
              <w:adjustRightInd w:val="0"/>
              <w:snapToGrid w:val="0"/>
              <w:spacing w:line="240" w:lineRule="auto"/>
              <w:ind w:firstLine="0" w:firstLineChars="0"/>
              <w:jc w:val="center"/>
              <w:rPr>
                <w:color w:val="auto"/>
              </w:rPr>
            </w:pPr>
            <w:r>
              <w:rPr>
                <w:color w:val="auto"/>
              </w:rPr>
              <w:t>环保投资（万元）</w:t>
            </w:r>
          </w:p>
        </w:tc>
        <w:tc>
          <w:tcPr>
            <w:tcW w:w="3464" w:type="dxa"/>
            <w:gridSpan w:val="2"/>
            <w:vAlign w:val="center"/>
          </w:tcPr>
          <w:p w14:paraId="38850ED9">
            <w:pPr>
              <w:pStyle w:val="16"/>
              <w:jc w:val="center"/>
              <w:rPr>
                <w:color w:val="auto"/>
                <w:sz w:val="24"/>
                <w:szCs w:val="24"/>
              </w:rPr>
            </w:pPr>
            <w:r>
              <w:rPr>
                <w:color w:val="auto"/>
                <w:sz w:val="24"/>
                <w:szCs w:val="24"/>
              </w:rPr>
              <w:t>131.58</w:t>
            </w:r>
          </w:p>
        </w:tc>
      </w:tr>
      <w:tr w14:paraId="26504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133" w:type="dxa"/>
            <w:tcMar>
              <w:top w:w="16" w:type="dxa"/>
              <w:left w:w="16" w:type="dxa"/>
              <w:right w:w="16" w:type="dxa"/>
            </w:tcMar>
            <w:vAlign w:val="center"/>
          </w:tcPr>
          <w:p w14:paraId="4560B0C7">
            <w:pPr>
              <w:adjustRightInd w:val="0"/>
              <w:snapToGrid w:val="0"/>
              <w:spacing w:line="240" w:lineRule="auto"/>
              <w:ind w:firstLine="0" w:firstLineChars="0"/>
              <w:jc w:val="center"/>
              <w:rPr>
                <w:color w:val="auto"/>
              </w:rPr>
            </w:pPr>
            <w:r>
              <w:rPr>
                <w:color w:val="auto"/>
              </w:rPr>
              <w:t>环保投资占比（%）</w:t>
            </w:r>
          </w:p>
        </w:tc>
        <w:tc>
          <w:tcPr>
            <w:tcW w:w="2657" w:type="dxa"/>
            <w:vAlign w:val="center"/>
          </w:tcPr>
          <w:p w14:paraId="296A8A4D">
            <w:pPr>
              <w:pStyle w:val="16"/>
              <w:jc w:val="center"/>
              <w:rPr>
                <w:color w:val="auto"/>
                <w:sz w:val="24"/>
                <w:szCs w:val="24"/>
              </w:rPr>
            </w:pPr>
            <w:r>
              <w:rPr>
                <w:rFonts w:hint="eastAsia"/>
                <w:color w:val="auto"/>
                <w:sz w:val="24"/>
                <w:szCs w:val="24"/>
              </w:rPr>
              <w:t>3.37%</w:t>
            </w:r>
          </w:p>
        </w:tc>
        <w:tc>
          <w:tcPr>
            <w:tcW w:w="2490" w:type="dxa"/>
            <w:tcMar>
              <w:top w:w="16" w:type="dxa"/>
              <w:left w:w="16" w:type="dxa"/>
              <w:right w:w="16" w:type="dxa"/>
            </w:tcMar>
            <w:vAlign w:val="center"/>
          </w:tcPr>
          <w:p w14:paraId="774874CD">
            <w:pPr>
              <w:adjustRightInd w:val="0"/>
              <w:snapToGrid w:val="0"/>
              <w:spacing w:line="240" w:lineRule="auto"/>
              <w:ind w:firstLine="0" w:firstLineChars="0"/>
              <w:jc w:val="center"/>
              <w:rPr>
                <w:color w:val="auto"/>
              </w:rPr>
            </w:pPr>
            <w:r>
              <w:rPr>
                <w:color w:val="auto"/>
              </w:rPr>
              <w:t>施工工期</w:t>
            </w:r>
          </w:p>
        </w:tc>
        <w:tc>
          <w:tcPr>
            <w:tcW w:w="3464" w:type="dxa"/>
            <w:gridSpan w:val="2"/>
            <w:vAlign w:val="center"/>
          </w:tcPr>
          <w:p w14:paraId="31B5CB98">
            <w:pPr>
              <w:pStyle w:val="16"/>
              <w:jc w:val="center"/>
              <w:rPr>
                <w:color w:val="auto"/>
                <w:sz w:val="24"/>
                <w:szCs w:val="24"/>
              </w:rPr>
            </w:pPr>
            <w:r>
              <w:rPr>
                <w:rFonts w:hint="eastAsia"/>
                <w:color w:val="auto"/>
                <w:sz w:val="24"/>
                <w:szCs w:val="24"/>
              </w:rPr>
              <w:t>10个月</w:t>
            </w:r>
          </w:p>
        </w:tc>
      </w:tr>
      <w:tr w14:paraId="66EE6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tcMar>
              <w:top w:w="16" w:type="dxa"/>
              <w:left w:w="16" w:type="dxa"/>
              <w:right w:w="16" w:type="dxa"/>
            </w:tcMar>
            <w:vAlign w:val="center"/>
          </w:tcPr>
          <w:p w14:paraId="70EA1A81">
            <w:pPr>
              <w:adjustRightInd w:val="0"/>
              <w:snapToGrid w:val="0"/>
              <w:spacing w:line="240" w:lineRule="auto"/>
              <w:ind w:firstLine="0" w:firstLineChars="0"/>
              <w:jc w:val="center"/>
              <w:rPr>
                <w:color w:val="auto"/>
                <w:szCs w:val="21"/>
              </w:rPr>
            </w:pPr>
            <w:r>
              <w:rPr>
                <w:color w:val="auto"/>
                <w:szCs w:val="21"/>
              </w:rPr>
              <w:t>是否开工建设</w:t>
            </w:r>
          </w:p>
        </w:tc>
        <w:tc>
          <w:tcPr>
            <w:tcW w:w="8611" w:type="dxa"/>
            <w:gridSpan w:val="4"/>
            <w:vAlign w:val="center"/>
          </w:tcPr>
          <w:p w14:paraId="6007AEA3">
            <w:pPr>
              <w:adjustRightInd w:val="0"/>
              <w:snapToGrid w:val="0"/>
              <w:spacing w:line="240" w:lineRule="auto"/>
              <w:ind w:firstLine="0" w:firstLineChars="0"/>
              <w:jc w:val="left"/>
              <w:rPr>
                <w:color w:val="auto"/>
                <w:szCs w:val="21"/>
              </w:rPr>
            </w:pPr>
            <w:r>
              <w:rPr>
                <w:color w:val="auto"/>
                <w:szCs w:val="21"/>
              </w:rPr>
              <w:t>☑否</w:t>
            </w:r>
          </w:p>
          <w:p w14:paraId="21C39316">
            <w:pPr>
              <w:adjustRightInd w:val="0"/>
              <w:snapToGrid w:val="0"/>
              <w:spacing w:line="240" w:lineRule="auto"/>
              <w:ind w:firstLine="0" w:firstLineChars="0"/>
              <w:jc w:val="left"/>
              <w:rPr>
                <w:color w:val="auto"/>
                <w:szCs w:val="21"/>
              </w:rPr>
            </w:pPr>
            <w:r>
              <w:rPr>
                <w:color w:val="auto"/>
                <w:szCs w:val="21"/>
              </w:rPr>
              <w:t>□是：</w:t>
            </w:r>
            <w:r>
              <w:rPr>
                <w:color w:val="auto"/>
                <w:szCs w:val="21"/>
                <w:u w:val="single"/>
              </w:rPr>
              <w:t xml:space="preserve">                             </w:t>
            </w:r>
          </w:p>
        </w:tc>
      </w:tr>
      <w:tr w14:paraId="36CE52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tcMar>
              <w:top w:w="16" w:type="dxa"/>
              <w:left w:w="16" w:type="dxa"/>
              <w:right w:w="16" w:type="dxa"/>
            </w:tcMar>
            <w:vAlign w:val="center"/>
          </w:tcPr>
          <w:p w14:paraId="63F4AEB8">
            <w:pPr>
              <w:adjustRightInd w:val="0"/>
              <w:snapToGrid w:val="0"/>
              <w:ind w:firstLine="0" w:firstLineChars="0"/>
              <w:jc w:val="center"/>
              <w:rPr>
                <w:color w:val="auto"/>
                <w:kern w:val="0"/>
                <w:szCs w:val="21"/>
              </w:rPr>
            </w:pPr>
            <w:r>
              <w:rPr>
                <w:color w:val="auto"/>
                <w:kern w:val="0"/>
              </w:rPr>
              <w:t>专项评价设置情况</w:t>
            </w:r>
          </w:p>
        </w:tc>
        <w:tc>
          <w:tcPr>
            <w:tcW w:w="8611" w:type="dxa"/>
            <w:gridSpan w:val="4"/>
            <w:tcMar>
              <w:top w:w="16" w:type="dxa"/>
              <w:left w:w="16" w:type="dxa"/>
              <w:right w:w="16" w:type="dxa"/>
            </w:tcMar>
            <w:vAlign w:val="center"/>
          </w:tcPr>
          <w:p w14:paraId="3CDFB87D">
            <w:pPr>
              <w:snapToGrid w:val="0"/>
              <w:ind w:firstLine="480"/>
              <w:rPr>
                <w:color w:val="auto"/>
                <w:kern w:val="0"/>
              </w:rPr>
            </w:pPr>
            <w:r>
              <w:rPr>
                <w:color w:val="auto"/>
                <w:kern w:val="0"/>
              </w:rPr>
              <w:t>根据《建设项目环境影响报告表编制技术指南（生态影响类）（试行）》，专项评价设置原则如下表所示：</w:t>
            </w:r>
          </w:p>
          <w:p w14:paraId="6DB55F9C">
            <w:pPr>
              <w:pStyle w:val="17"/>
              <w:rPr>
                <w:rFonts w:hint="default"/>
                <w:color w:val="auto"/>
              </w:rPr>
            </w:pPr>
            <w:r>
              <w:rPr>
                <w:rFonts w:hint="default"/>
                <w:color w:val="auto"/>
              </w:rPr>
              <w:t>表1-1 专项评价设置原则表</w:t>
            </w:r>
          </w:p>
          <w:tbl>
            <w:tblPr>
              <w:tblStyle w:val="1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615"/>
              <w:gridCol w:w="2409"/>
              <w:gridCol w:w="1194"/>
            </w:tblGrid>
            <w:tr w14:paraId="33598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6221D975">
                  <w:pPr>
                    <w:pStyle w:val="16"/>
                    <w:jc w:val="center"/>
                    <w:rPr>
                      <w:color w:val="auto"/>
                    </w:rPr>
                  </w:pPr>
                  <w:r>
                    <w:rPr>
                      <w:color w:val="auto"/>
                    </w:rPr>
                    <w:t>专项评价的类别</w:t>
                  </w:r>
                </w:p>
              </w:tc>
              <w:tc>
                <w:tcPr>
                  <w:tcW w:w="2106" w:type="pct"/>
                  <w:tcBorders>
                    <w:tl2br w:val="nil"/>
                    <w:tr2bl w:val="nil"/>
                  </w:tcBorders>
                  <w:vAlign w:val="center"/>
                </w:tcPr>
                <w:p w14:paraId="47A04C06">
                  <w:pPr>
                    <w:pStyle w:val="16"/>
                    <w:jc w:val="center"/>
                    <w:rPr>
                      <w:color w:val="auto"/>
                    </w:rPr>
                  </w:pPr>
                  <w:r>
                    <w:rPr>
                      <w:color w:val="auto"/>
                    </w:rPr>
                    <w:t>涉及项目类别</w:t>
                  </w:r>
                </w:p>
              </w:tc>
              <w:tc>
                <w:tcPr>
                  <w:tcW w:w="1403" w:type="pct"/>
                  <w:tcBorders>
                    <w:tl2br w:val="nil"/>
                    <w:tr2bl w:val="nil"/>
                  </w:tcBorders>
                  <w:vAlign w:val="center"/>
                </w:tcPr>
                <w:p w14:paraId="6B9158F2">
                  <w:pPr>
                    <w:pStyle w:val="16"/>
                    <w:jc w:val="center"/>
                    <w:rPr>
                      <w:color w:val="auto"/>
                    </w:rPr>
                  </w:pPr>
                  <w:r>
                    <w:rPr>
                      <w:color w:val="auto"/>
                    </w:rPr>
                    <w:t>本项目情况</w:t>
                  </w:r>
                </w:p>
              </w:tc>
              <w:tc>
                <w:tcPr>
                  <w:tcW w:w="696" w:type="pct"/>
                  <w:tcBorders>
                    <w:tl2br w:val="nil"/>
                    <w:tr2bl w:val="nil"/>
                  </w:tcBorders>
                  <w:vAlign w:val="center"/>
                </w:tcPr>
                <w:p w14:paraId="420E22CA">
                  <w:pPr>
                    <w:pStyle w:val="16"/>
                    <w:rPr>
                      <w:color w:val="auto"/>
                    </w:rPr>
                  </w:pPr>
                  <w:r>
                    <w:rPr>
                      <w:color w:val="auto"/>
                    </w:rPr>
                    <w:t>是否设置专项评价</w:t>
                  </w:r>
                </w:p>
              </w:tc>
            </w:tr>
            <w:tr w14:paraId="4A299C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0CD0F742">
                  <w:pPr>
                    <w:pStyle w:val="16"/>
                    <w:jc w:val="center"/>
                    <w:rPr>
                      <w:color w:val="auto"/>
                    </w:rPr>
                  </w:pPr>
                  <w:r>
                    <w:rPr>
                      <w:color w:val="auto"/>
                    </w:rPr>
                    <w:t>地表水</w:t>
                  </w:r>
                </w:p>
              </w:tc>
              <w:tc>
                <w:tcPr>
                  <w:tcW w:w="2106" w:type="pct"/>
                  <w:tcBorders>
                    <w:tl2br w:val="nil"/>
                    <w:tr2bl w:val="nil"/>
                  </w:tcBorders>
                  <w:vAlign w:val="center"/>
                </w:tcPr>
                <w:p w14:paraId="47AA5D8B">
                  <w:pPr>
                    <w:pStyle w:val="16"/>
                    <w:rPr>
                      <w:color w:val="auto"/>
                    </w:rPr>
                  </w:pPr>
                  <w:r>
                    <w:rPr>
                      <w:color w:val="auto"/>
                    </w:rPr>
                    <w:t>水力发电</w:t>
                  </w:r>
                  <w:r>
                    <w:rPr>
                      <w:rFonts w:hint="eastAsia"/>
                      <w:color w:val="auto"/>
                    </w:rPr>
                    <w:t>：</w:t>
                  </w:r>
                  <w:r>
                    <w:rPr>
                      <w:color w:val="auto"/>
                    </w:rPr>
                    <w:t>引水式发电、涉及调峰发电的项目；</w:t>
                  </w:r>
                </w:p>
                <w:p w14:paraId="6DD36AAB">
                  <w:pPr>
                    <w:pStyle w:val="16"/>
                    <w:rPr>
                      <w:color w:val="auto"/>
                    </w:rPr>
                  </w:pPr>
                  <w:r>
                    <w:rPr>
                      <w:color w:val="auto"/>
                    </w:rPr>
                    <w:t>人工湖、人工湿地</w:t>
                  </w:r>
                  <w:r>
                    <w:rPr>
                      <w:rFonts w:hint="eastAsia"/>
                      <w:color w:val="auto"/>
                    </w:rPr>
                    <w:t>：</w:t>
                  </w:r>
                  <w:r>
                    <w:rPr>
                      <w:color w:val="auto"/>
                    </w:rPr>
                    <w:t>全部；</w:t>
                  </w:r>
                </w:p>
                <w:p w14:paraId="62B025C5">
                  <w:pPr>
                    <w:pStyle w:val="16"/>
                    <w:rPr>
                      <w:color w:val="auto"/>
                    </w:rPr>
                  </w:pPr>
                  <w:r>
                    <w:rPr>
                      <w:color w:val="auto"/>
                    </w:rPr>
                    <w:t>水库</w:t>
                  </w:r>
                  <w:r>
                    <w:rPr>
                      <w:rFonts w:hint="eastAsia"/>
                      <w:color w:val="auto"/>
                    </w:rPr>
                    <w:t>：</w:t>
                  </w:r>
                  <w:r>
                    <w:rPr>
                      <w:color w:val="auto"/>
                    </w:rPr>
                    <w:t>全部；</w:t>
                  </w:r>
                </w:p>
                <w:p w14:paraId="1AA5D5F4">
                  <w:pPr>
                    <w:pStyle w:val="16"/>
                    <w:rPr>
                      <w:color w:val="auto"/>
                    </w:rPr>
                  </w:pPr>
                  <w:r>
                    <w:rPr>
                      <w:color w:val="auto"/>
                    </w:rPr>
                    <w:t>引水工程</w:t>
                  </w:r>
                  <w:r>
                    <w:rPr>
                      <w:rFonts w:hint="eastAsia"/>
                      <w:color w:val="auto"/>
                    </w:rPr>
                    <w:t>：</w:t>
                  </w:r>
                  <w:r>
                    <w:rPr>
                      <w:color w:val="auto"/>
                    </w:rPr>
                    <w:t>全部</w:t>
                  </w:r>
                  <w:r>
                    <w:rPr>
                      <w:rFonts w:hint="eastAsia"/>
                      <w:color w:val="auto"/>
                    </w:rPr>
                    <w:t>（</w:t>
                  </w:r>
                  <w:r>
                    <w:rPr>
                      <w:color w:val="auto"/>
                    </w:rPr>
                    <w:t>配套的管线工程等除外</w:t>
                  </w:r>
                  <w:r>
                    <w:rPr>
                      <w:rFonts w:hint="eastAsia"/>
                      <w:color w:val="auto"/>
                    </w:rPr>
                    <w:t>）</w:t>
                  </w:r>
                  <w:r>
                    <w:rPr>
                      <w:color w:val="auto"/>
                    </w:rPr>
                    <w:t>；</w:t>
                  </w:r>
                </w:p>
                <w:p w14:paraId="670DADE2">
                  <w:pPr>
                    <w:pStyle w:val="16"/>
                    <w:rPr>
                      <w:color w:val="auto"/>
                    </w:rPr>
                  </w:pPr>
                  <w:r>
                    <w:rPr>
                      <w:color w:val="auto"/>
                    </w:rPr>
                    <w:t>防洪除涝工程</w:t>
                  </w:r>
                  <w:r>
                    <w:rPr>
                      <w:rFonts w:hint="eastAsia"/>
                      <w:color w:val="auto"/>
                    </w:rPr>
                    <w:t>：</w:t>
                  </w:r>
                  <w:r>
                    <w:rPr>
                      <w:color w:val="auto"/>
                    </w:rPr>
                    <w:t>包含水库的项目；</w:t>
                  </w:r>
                </w:p>
                <w:p w14:paraId="12D49271">
                  <w:pPr>
                    <w:pStyle w:val="16"/>
                    <w:rPr>
                      <w:color w:val="auto"/>
                    </w:rPr>
                  </w:pPr>
                  <w:r>
                    <w:rPr>
                      <w:color w:val="auto"/>
                    </w:rPr>
                    <w:t>河湖整治</w:t>
                  </w:r>
                  <w:r>
                    <w:rPr>
                      <w:rFonts w:hint="eastAsia"/>
                      <w:color w:val="auto"/>
                    </w:rPr>
                    <w:t>：</w:t>
                  </w:r>
                  <w:r>
                    <w:rPr>
                      <w:color w:val="auto"/>
                    </w:rPr>
                    <w:t>涉及清淤且底泥存在重金属污染的项</w:t>
                  </w:r>
                  <w:r>
                    <w:rPr>
                      <w:rFonts w:hint="eastAsia"/>
                      <w:color w:val="auto"/>
                    </w:rPr>
                    <w:t>目</w:t>
                  </w:r>
                </w:p>
              </w:tc>
              <w:tc>
                <w:tcPr>
                  <w:tcW w:w="1403" w:type="pct"/>
                  <w:tcBorders>
                    <w:tl2br w:val="nil"/>
                    <w:tr2bl w:val="nil"/>
                  </w:tcBorders>
                  <w:vAlign w:val="center"/>
                </w:tcPr>
                <w:p w14:paraId="0002BCA4">
                  <w:pPr>
                    <w:pStyle w:val="16"/>
                    <w:rPr>
                      <w:color w:val="auto"/>
                    </w:rPr>
                  </w:pPr>
                  <w:r>
                    <w:rPr>
                      <w:color w:val="auto"/>
                    </w:rPr>
                    <w:t>本项目属引水工程，</w:t>
                  </w:r>
                  <w:r>
                    <w:rPr>
                      <w:rFonts w:hint="eastAsia"/>
                      <w:color w:val="auto"/>
                    </w:rPr>
                    <w:t>有取水设施建设，</w:t>
                  </w:r>
                  <w:r>
                    <w:rPr>
                      <w:color w:val="auto"/>
                    </w:rPr>
                    <w:t>故需设置地表水专项评价。</w:t>
                  </w:r>
                </w:p>
              </w:tc>
              <w:tc>
                <w:tcPr>
                  <w:tcW w:w="696" w:type="pct"/>
                  <w:tcBorders>
                    <w:tl2br w:val="nil"/>
                    <w:tr2bl w:val="nil"/>
                  </w:tcBorders>
                  <w:vAlign w:val="center"/>
                </w:tcPr>
                <w:p w14:paraId="040B8CEA">
                  <w:pPr>
                    <w:pStyle w:val="16"/>
                    <w:rPr>
                      <w:color w:val="auto"/>
                    </w:rPr>
                  </w:pPr>
                  <w:r>
                    <w:rPr>
                      <w:rFonts w:hint="eastAsia"/>
                      <w:color w:val="auto"/>
                    </w:rPr>
                    <w:t>是</w:t>
                  </w:r>
                </w:p>
              </w:tc>
            </w:tr>
            <w:tr w14:paraId="1C4CC0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39607BAA">
                  <w:pPr>
                    <w:pStyle w:val="16"/>
                    <w:jc w:val="center"/>
                    <w:rPr>
                      <w:color w:val="auto"/>
                    </w:rPr>
                  </w:pPr>
                  <w:r>
                    <w:rPr>
                      <w:color w:val="auto"/>
                    </w:rPr>
                    <w:t>地下水</w:t>
                  </w:r>
                </w:p>
              </w:tc>
              <w:tc>
                <w:tcPr>
                  <w:tcW w:w="2106" w:type="pct"/>
                  <w:tcBorders>
                    <w:tl2br w:val="nil"/>
                    <w:tr2bl w:val="nil"/>
                  </w:tcBorders>
                  <w:vAlign w:val="center"/>
                </w:tcPr>
                <w:p w14:paraId="45750E5C">
                  <w:pPr>
                    <w:pStyle w:val="16"/>
                    <w:rPr>
                      <w:color w:val="auto"/>
                    </w:rPr>
                  </w:pPr>
                  <w:r>
                    <w:rPr>
                      <w:color w:val="auto"/>
                    </w:rPr>
                    <w:t>陆地石油和天然气开采</w:t>
                  </w:r>
                  <w:r>
                    <w:rPr>
                      <w:rFonts w:hint="eastAsia"/>
                      <w:color w:val="auto"/>
                    </w:rPr>
                    <w:t>：</w:t>
                  </w:r>
                  <w:r>
                    <w:rPr>
                      <w:color w:val="auto"/>
                    </w:rPr>
                    <w:t>全部；</w:t>
                  </w:r>
                </w:p>
                <w:p w14:paraId="36B4C4F3">
                  <w:pPr>
                    <w:pStyle w:val="16"/>
                    <w:rPr>
                      <w:color w:val="auto"/>
                    </w:rPr>
                  </w:pPr>
                  <w:r>
                    <w:rPr>
                      <w:color w:val="auto"/>
                    </w:rPr>
                    <w:t>地下水</w:t>
                  </w:r>
                  <w:r>
                    <w:rPr>
                      <w:rFonts w:hint="eastAsia"/>
                      <w:color w:val="auto"/>
                    </w:rPr>
                    <w:t>（</w:t>
                  </w:r>
                  <w:r>
                    <w:rPr>
                      <w:color w:val="auto"/>
                    </w:rPr>
                    <w:t>含矿泉水</w:t>
                  </w:r>
                  <w:r>
                    <w:rPr>
                      <w:rFonts w:hint="eastAsia"/>
                      <w:color w:val="auto"/>
                    </w:rPr>
                    <w:t>）</w:t>
                  </w:r>
                  <w:r>
                    <w:rPr>
                      <w:color w:val="auto"/>
                    </w:rPr>
                    <w:t>开采</w:t>
                  </w:r>
                  <w:r>
                    <w:rPr>
                      <w:rFonts w:hint="eastAsia"/>
                      <w:color w:val="auto"/>
                    </w:rPr>
                    <w:t>：</w:t>
                  </w:r>
                  <w:r>
                    <w:rPr>
                      <w:color w:val="auto"/>
                    </w:rPr>
                    <w:t>全部；</w:t>
                  </w:r>
                </w:p>
                <w:p w14:paraId="4FF47CD6">
                  <w:pPr>
                    <w:pStyle w:val="16"/>
                    <w:rPr>
                      <w:color w:val="auto"/>
                    </w:rPr>
                  </w:pPr>
                  <w:r>
                    <w:rPr>
                      <w:color w:val="auto"/>
                    </w:rPr>
                    <w:t>水利、水电、交通等</w:t>
                  </w:r>
                  <w:r>
                    <w:rPr>
                      <w:rFonts w:hint="eastAsia"/>
                      <w:color w:val="auto"/>
                    </w:rPr>
                    <w:t>：</w:t>
                  </w:r>
                  <w:r>
                    <w:rPr>
                      <w:color w:val="auto"/>
                    </w:rPr>
                    <w:t>含穿越开济岩地层隧道的项</w:t>
                  </w:r>
                  <w:r>
                    <w:rPr>
                      <w:rFonts w:hint="eastAsia"/>
                      <w:color w:val="auto"/>
                    </w:rPr>
                    <w:t>目</w:t>
                  </w:r>
                </w:p>
              </w:tc>
              <w:tc>
                <w:tcPr>
                  <w:tcW w:w="1403" w:type="pct"/>
                  <w:tcBorders>
                    <w:tl2br w:val="nil"/>
                    <w:tr2bl w:val="nil"/>
                  </w:tcBorders>
                  <w:vAlign w:val="center"/>
                </w:tcPr>
                <w:p w14:paraId="7166006C">
                  <w:pPr>
                    <w:pStyle w:val="16"/>
                    <w:rPr>
                      <w:color w:val="auto"/>
                    </w:rPr>
                  </w:pPr>
                  <w:r>
                    <w:rPr>
                      <w:color w:val="auto"/>
                    </w:rPr>
                    <w:t>本项目不涉及所列类型</w:t>
                  </w:r>
                </w:p>
              </w:tc>
              <w:tc>
                <w:tcPr>
                  <w:tcW w:w="696" w:type="pct"/>
                  <w:tcBorders>
                    <w:tl2br w:val="nil"/>
                    <w:tr2bl w:val="nil"/>
                  </w:tcBorders>
                  <w:vAlign w:val="center"/>
                </w:tcPr>
                <w:p w14:paraId="712B118A">
                  <w:pPr>
                    <w:pStyle w:val="16"/>
                    <w:rPr>
                      <w:color w:val="auto"/>
                    </w:rPr>
                  </w:pPr>
                  <w:r>
                    <w:rPr>
                      <w:color w:val="auto"/>
                    </w:rPr>
                    <w:t>否</w:t>
                  </w:r>
                </w:p>
              </w:tc>
            </w:tr>
            <w:tr w14:paraId="6611E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47937183">
                  <w:pPr>
                    <w:pStyle w:val="16"/>
                    <w:jc w:val="center"/>
                    <w:rPr>
                      <w:color w:val="auto"/>
                    </w:rPr>
                  </w:pPr>
                  <w:r>
                    <w:rPr>
                      <w:color w:val="auto"/>
                    </w:rPr>
                    <w:t>生态</w:t>
                  </w:r>
                </w:p>
              </w:tc>
              <w:tc>
                <w:tcPr>
                  <w:tcW w:w="2106" w:type="pct"/>
                  <w:tcBorders>
                    <w:tl2br w:val="nil"/>
                    <w:tr2bl w:val="nil"/>
                  </w:tcBorders>
                  <w:vAlign w:val="center"/>
                </w:tcPr>
                <w:p w14:paraId="7E7687C0">
                  <w:pPr>
                    <w:pStyle w:val="16"/>
                    <w:rPr>
                      <w:color w:val="auto"/>
                    </w:rPr>
                  </w:pPr>
                  <w:r>
                    <w:rPr>
                      <w:color w:val="auto"/>
                    </w:rPr>
                    <w:t>涉及环境敏感区</w:t>
                  </w:r>
                  <w:r>
                    <w:rPr>
                      <w:rFonts w:hint="eastAsia"/>
                      <w:color w:val="auto"/>
                    </w:rPr>
                    <w:t>（</w:t>
                  </w:r>
                  <w:r>
                    <w:rPr>
                      <w:color w:val="auto"/>
                    </w:rPr>
                    <w:t>不包括饮用水水源保护区，以居住、医疗卫生、文化教育科研、行政办公为主要功能的区域，以及文物保护单位</w:t>
                  </w:r>
                  <w:r>
                    <w:rPr>
                      <w:rFonts w:hint="eastAsia"/>
                      <w:color w:val="auto"/>
                    </w:rPr>
                    <w:t>）</w:t>
                  </w:r>
                  <w:r>
                    <w:rPr>
                      <w:color w:val="auto"/>
                    </w:rPr>
                    <w:t>的项目</w:t>
                  </w:r>
                </w:p>
              </w:tc>
              <w:tc>
                <w:tcPr>
                  <w:tcW w:w="1403" w:type="pct"/>
                  <w:tcBorders>
                    <w:tl2br w:val="nil"/>
                    <w:tr2bl w:val="nil"/>
                  </w:tcBorders>
                  <w:vAlign w:val="center"/>
                </w:tcPr>
                <w:p w14:paraId="2442D6CC">
                  <w:pPr>
                    <w:pStyle w:val="16"/>
                    <w:rPr>
                      <w:color w:val="auto"/>
                    </w:rPr>
                  </w:pPr>
                  <w:r>
                    <w:rPr>
                      <w:rFonts w:hint="eastAsia"/>
                      <w:color w:val="auto"/>
                    </w:rPr>
                    <w:t>本项目为涉及饮用水水源保护区的引水工程项目，故不需要做生态专项评价。</w:t>
                  </w:r>
                </w:p>
              </w:tc>
              <w:tc>
                <w:tcPr>
                  <w:tcW w:w="696" w:type="pct"/>
                  <w:tcBorders>
                    <w:tl2br w:val="nil"/>
                    <w:tr2bl w:val="nil"/>
                  </w:tcBorders>
                  <w:vAlign w:val="center"/>
                </w:tcPr>
                <w:p w14:paraId="3337284D">
                  <w:pPr>
                    <w:pStyle w:val="16"/>
                    <w:rPr>
                      <w:color w:val="auto"/>
                    </w:rPr>
                  </w:pPr>
                  <w:r>
                    <w:rPr>
                      <w:color w:val="auto"/>
                    </w:rPr>
                    <w:t>否</w:t>
                  </w:r>
                </w:p>
              </w:tc>
            </w:tr>
            <w:tr w14:paraId="048FB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575CCA12">
                  <w:pPr>
                    <w:pStyle w:val="16"/>
                    <w:jc w:val="center"/>
                    <w:rPr>
                      <w:color w:val="auto"/>
                    </w:rPr>
                  </w:pPr>
                  <w:r>
                    <w:rPr>
                      <w:color w:val="auto"/>
                    </w:rPr>
                    <w:t>大气</w:t>
                  </w:r>
                </w:p>
              </w:tc>
              <w:tc>
                <w:tcPr>
                  <w:tcW w:w="2106" w:type="pct"/>
                  <w:tcBorders>
                    <w:tl2br w:val="nil"/>
                    <w:tr2bl w:val="nil"/>
                  </w:tcBorders>
                  <w:vAlign w:val="center"/>
                </w:tcPr>
                <w:p w14:paraId="1DC100E3">
                  <w:pPr>
                    <w:pStyle w:val="16"/>
                    <w:rPr>
                      <w:color w:val="auto"/>
                    </w:rPr>
                  </w:pPr>
                  <w:r>
                    <w:rPr>
                      <w:color w:val="auto"/>
                    </w:rPr>
                    <w:t>油气、液体化工码头</w:t>
                  </w:r>
                  <w:r>
                    <w:rPr>
                      <w:rFonts w:hint="eastAsia"/>
                      <w:color w:val="auto"/>
                    </w:rPr>
                    <w:t>：</w:t>
                  </w:r>
                  <w:r>
                    <w:rPr>
                      <w:color w:val="auto"/>
                    </w:rPr>
                    <w:t>全部；</w:t>
                  </w:r>
                </w:p>
                <w:p w14:paraId="104BD0F8">
                  <w:pPr>
                    <w:pStyle w:val="16"/>
                    <w:rPr>
                      <w:color w:val="auto"/>
                    </w:rPr>
                  </w:pPr>
                  <w:r>
                    <w:rPr>
                      <w:color w:val="auto"/>
                    </w:rPr>
                    <w:t>干散货</w:t>
                  </w:r>
                  <w:r>
                    <w:rPr>
                      <w:rFonts w:hint="eastAsia"/>
                      <w:color w:val="auto"/>
                    </w:rPr>
                    <w:t>（</w:t>
                  </w:r>
                  <w:r>
                    <w:rPr>
                      <w:color w:val="auto"/>
                    </w:rPr>
                    <w:t>含煤炭、矿石</w:t>
                  </w:r>
                  <w:r>
                    <w:rPr>
                      <w:rFonts w:hint="eastAsia"/>
                      <w:color w:val="auto"/>
                    </w:rPr>
                    <w:t>）</w:t>
                  </w:r>
                  <w:r>
                    <w:rPr>
                      <w:color w:val="auto"/>
                    </w:rPr>
                    <w:t>、件杂、多用途、通用码头</w:t>
                  </w:r>
                  <w:r>
                    <w:rPr>
                      <w:rFonts w:hint="eastAsia"/>
                      <w:color w:val="auto"/>
                    </w:rPr>
                    <w:t>：</w:t>
                  </w:r>
                  <w:r>
                    <w:rPr>
                      <w:color w:val="auto"/>
                    </w:rPr>
                    <w:t>涉及粉尘、挥发性有机物排放的项目</w:t>
                  </w:r>
                </w:p>
              </w:tc>
              <w:tc>
                <w:tcPr>
                  <w:tcW w:w="1403" w:type="pct"/>
                  <w:tcBorders>
                    <w:tl2br w:val="nil"/>
                    <w:tr2bl w:val="nil"/>
                  </w:tcBorders>
                  <w:vAlign w:val="center"/>
                </w:tcPr>
                <w:p w14:paraId="479C7F07">
                  <w:pPr>
                    <w:pStyle w:val="16"/>
                    <w:rPr>
                      <w:color w:val="auto"/>
                    </w:rPr>
                  </w:pPr>
                  <w:r>
                    <w:rPr>
                      <w:color w:val="auto"/>
                    </w:rPr>
                    <w:t>本项目不涉及所列类型</w:t>
                  </w:r>
                </w:p>
              </w:tc>
              <w:tc>
                <w:tcPr>
                  <w:tcW w:w="696" w:type="pct"/>
                  <w:tcBorders>
                    <w:tl2br w:val="nil"/>
                    <w:tr2bl w:val="nil"/>
                  </w:tcBorders>
                  <w:vAlign w:val="center"/>
                </w:tcPr>
                <w:p w14:paraId="59C20D94">
                  <w:pPr>
                    <w:pStyle w:val="16"/>
                    <w:rPr>
                      <w:color w:val="auto"/>
                    </w:rPr>
                  </w:pPr>
                  <w:r>
                    <w:rPr>
                      <w:color w:val="auto"/>
                    </w:rPr>
                    <w:t>否</w:t>
                  </w:r>
                </w:p>
              </w:tc>
            </w:tr>
            <w:tr w14:paraId="6633C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19A06EB3">
                  <w:pPr>
                    <w:pStyle w:val="16"/>
                    <w:jc w:val="center"/>
                    <w:rPr>
                      <w:color w:val="auto"/>
                    </w:rPr>
                  </w:pPr>
                  <w:r>
                    <w:rPr>
                      <w:color w:val="auto"/>
                    </w:rPr>
                    <w:t>噪声</w:t>
                  </w:r>
                </w:p>
              </w:tc>
              <w:tc>
                <w:tcPr>
                  <w:tcW w:w="2106" w:type="pct"/>
                  <w:tcBorders>
                    <w:tl2br w:val="nil"/>
                    <w:tr2bl w:val="nil"/>
                  </w:tcBorders>
                  <w:vAlign w:val="center"/>
                </w:tcPr>
                <w:p w14:paraId="3AC385DF">
                  <w:pPr>
                    <w:pStyle w:val="16"/>
                    <w:rPr>
                      <w:color w:val="auto"/>
                    </w:rPr>
                  </w:pPr>
                  <w:r>
                    <w:rPr>
                      <w:color w:val="auto"/>
                    </w:rPr>
                    <w:t>公路、铁路、机场等交通运输业涉及环境敏感区</w:t>
                  </w:r>
                  <w:r>
                    <w:rPr>
                      <w:rFonts w:hint="eastAsia"/>
                      <w:color w:val="auto"/>
                    </w:rPr>
                    <w:t>（</w:t>
                  </w:r>
                  <w:r>
                    <w:rPr>
                      <w:color w:val="auto"/>
                    </w:rPr>
                    <w:t>以居住、医疗卫生、文化教育、科研、行政办公为主要功能的区域）的项目；</w:t>
                  </w:r>
                </w:p>
                <w:p w14:paraId="79F3825E">
                  <w:pPr>
                    <w:pStyle w:val="16"/>
                    <w:rPr>
                      <w:color w:val="auto"/>
                    </w:rPr>
                  </w:pPr>
                  <w:r>
                    <w:rPr>
                      <w:color w:val="auto"/>
                    </w:rPr>
                    <w:t>城市道路</w:t>
                  </w:r>
                  <w:r>
                    <w:rPr>
                      <w:rFonts w:hint="eastAsia"/>
                      <w:color w:val="auto"/>
                    </w:rPr>
                    <w:t>（</w:t>
                  </w:r>
                  <w:r>
                    <w:rPr>
                      <w:color w:val="auto"/>
                    </w:rPr>
                    <w:t>不含维护，不含支路、大行天桥、大行地道</w:t>
                  </w:r>
                  <w:r>
                    <w:rPr>
                      <w:rFonts w:hint="eastAsia"/>
                      <w:color w:val="auto"/>
                    </w:rPr>
                    <w:t>）：</w:t>
                  </w:r>
                  <w:r>
                    <w:rPr>
                      <w:color w:val="auto"/>
                    </w:rPr>
                    <w:t>全部</w:t>
                  </w:r>
                </w:p>
              </w:tc>
              <w:tc>
                <w:tcPr>
                  <w:tcW w:w="1403" w:type="pct"/>
                  <w:tcBorders>
                    <w:tl2br w:val="nil"/>
                    <w:tr2bl w:val="nil"/>
                  </w:tcBorders>
                  <w:vAlign w:val="center"/>
                </w:tcPr>
                <w:p w14:paraId="0DDD3F7F">
                  <w:pPr>
                    <w:pStyle w:val="16"/>
                    <w:rPr>
                      <w:color w:val="auto"/>
                    </w:rPr>
                  </w:pPr>
                  <w:r>
                    <w:rPr>
                      <w:color w:val="auto"/>
                    </w:rPr>
                    <w:t>本项目不涉及所列类型</w:t>
                  </w:r>
                </w:p>
              </w:tc>
              <w:tc>
                <w:tcPr>
                  <w:tcW w:w="696" w:type="pct"/>
                  <w:tcBorders>
                    <w:tl2br w:val="nil"/>
                    <w:tr2bl w:val="nil"/>
                  </w:tcBorders>
                  <w:vAlign w:val="center"/>
                </w:tcPr>
                <w:p w14:paraId="7BD99B9D">
                  <w:pPr>
                    <w:pStyle w:val="16"/>
                    <w:rPr>
                      <w:color w:val="auto"/>
                    </w:rPr>
                  </w:pPr>
                  <w:r>
                    <w:rPr>
                      <w:color w:val="auto"/>
                    </w:rPr>
                    <w:t>否</w:t>
                  </w:r>
                </w:p>
              </w:tc>
            </w:tr>
            <w:tr w14:paraId="28C51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3" w:type="pct"/>
                  <w:tcBorders>
                    <w:tl2br w:val="nil"/>
                    <w:tr2bl w:val="nil"/>
                  </w:tcBorders>
                  <w:vAlign w:val="center"/>
                </w:tcPr>
                <w:p w14:paraId="6AEE73AA">
                  <w:pPr>
                    <w:pStyle w:val="16"/>
                    <w:jc w:val="center"/>
                    <w:rPr>
                      <w:color w:val="auto"/>
                    </w:rPr>
                  </w:pPr>
                  <w:r>
                    <w:rPr>
                      <w:color w:val="auto"/>
                    </w:rPr>
                    <w:t>环境风险</w:t>
                  </w:r>
                </w:p>
              </w:tc>
              <w:tc>
                <w:tcPr>
                  <w:tcW w:w="2106" w:type="pct"/>
                  <w:tcBorders>
                    <w:tl2br w:val="nil"/>
                    <w:tr2bl w:val="nil"/>
                  </w:tcBorders>
                  <w:vAlign w:val="center"/>
                </w:tcPr>
                <w:p w14:paraId="58D8344C">
                  <w:pPr>
                    <w:pStyle w:val="16"/>
                    <w:rPr>
                      <w:color w:val="auto"/>
                    </w:rPr>
                  </w:pPr>
                  <w:r>
                    <w:rPr>
                      <w:color w:val="auto"/>
                    </w:rPr>
                    <w:t>石油和天然气开采</w:t>
                  </w:r>
                  <w:r>
                    <w:rPr>
                      <w:rFonts w:hint="eastAsia"/>
                      <w:color w:val="auto"/>
                    </w:rPr>
                    <w:t>：</w:t>
                  </w:r>
                  <w:r>
                    <w:rPr>
                      <w:color w:val="auto"/>
                    </w:rPr>
                    <w:t>全部；</w:t>
                  </w:r>
                </w:p>
                <w:p w14:paraId="795B250B">
                  <w:pPr>
                    <w:pStyle w:val="16"/>
                    <w:rPr>
                      <w:color w:val="auto"/>
                    </w:rPr>
                  </w:pPr>
                  <w:r>
                    <w:rPr>
                      <w:color w:val="auto"/>
                    </w:rPr>
                    <w:t>油气、液体化工码头</w:t>
                  </w:r>
                  <w:r>
                    <w:rPr>
                      <w:rFonts w:hint="eastAsia"/>
                      <w:color w:val="auto"/>
                    </w:rPr>
                    <w:t>：</w:t>
                  </w:r>
                  <w:r>
                    <w:rPr>
                      <w:color w:val="auto"/>
                    </w:rPr>
                    <w:t>全部；</w:t>
                  </w:r>
                </w:p>
                <w:p w14:paraId="38A9043E">
                  <w:pPr>
                    <w:pStyle w:val="16"/>
                    <w:rPr>
                      <w:color w:val="auto"/>
                    </w:rPr>
                  </w:pPr>
                  <w:r>
                    <w:rPr>
                      <w:color w:val="auto"/>
                    </w:rPr>
                    <w:t>原油、成品油、天然气管线</w:t>
                  </w:r>
                  <w:r>
                    <w:rPr>
                      <w:rFonts w:hint="eastAsia"/>
                      <w:color w:val="auto"/>
                    </w:rPr>
                    <w:t>（</w:t>
                  </w:r>
                  <w:r>
                    <w:rPr>
                      <w:color w:val="auto"/>
                    </w:rPr>
                    <w:t>不含城镇天然气管线、企业厂区内管线</w:t>
                  </w:r>
                  <w:r>
                    <w:rPr>
                      <w:rFonts w:hint="eastAsia"/>
                      <w:color w:val="auto"/>
                    </w:rPr>
                    <w:t>）</w:t>
                  </w:r>
                  <w:r>
                    <w:rPr>
                      <w:color w:val="auto"/>
                    </w:rPr>
                    <w:t>，危险化学品输送管线</w:t>
                  </w:r>
                  <w:r>
                    <w:rPr>
                      <w:rFonts w:hint="eastAsia"/>
                      <w:color w:val="auto"/>
                    </w:rPr>
                    <w:t>（</w:t>
                  </w:r>
                  <w:r>
                    <w:rPr>
                      <w:color w:val="auto"/>
                    </w:rPr>
                    <w:t>不含企业厂区内管线</w:t>
                  </w:r>
                  <w:r>
                    <w:rPr>
                      <w:rFonts w:hint="eastAsia"/>
                      <w:color w:val="auto"/>
                    </w:rPr>
                    <w:t>）：</w:t>
                  </w:r>
                  <w:r>
                    <w:rPr>
                      <w:color w:val="auto"/>
                    </w:rPr>
                    <w:t>全部</w:t>
                  </w:r>
                </w:p>
              </w:tc>
              <w:tc>
                <w:tcPr>
                  <w:tcW w:w="1403" w:type="pct"/>
                  <w:tcBorders>
                    <w:tl2br w:val="nil"/>
                    <w:tr2bl w:val="nil"/>
                  </w:tcBorders>
                  <w:vAlign w:val="center"/>
                </w:tcPr>
                <w:p w14:paraId="47149212">
                  <w:pPr>
                    <w:pStyle w:val="16"/>
                    <w:rPr>
                      <w:color w:val="auto"/>
                    </w:rPr>
                  </w:pPr>
                  <w:r>
                    <w:rPr>
                      <w:color w:val="auto"/>
                    </w:rPr>
                    <w:t>本项目不涉及所列类型</w:t>
                  </w:r>
                </w:p>
              </w:tc>
              <w:tc>
                <w:tcPr>
                  <w:tcW w:w="696" w:type="pct"/>
                  <w:tcBorders>
                    <w:tl2br w:val="nil"/>
                    <w:tr2bl w:val="nil"/>
                  </w:tcBorders>
                  <w:vAlign w:val="center"/>
                </w:tcPr>
                <w:p w14:paraId="7B348451">
                  <w:pPr>
                    <w:pStyle w:val="16"/>
                    <w:rPr>
                      <w:color w:val="auto"/>
                    </w:rPr>
                  </w:pPr>
                  <w:r>
                    <w:rPr>
                      <w:color w:val="auto"/>
                    </w:rPr>
                    <w:t>否</w:t>
                  </w:r>
                </w:p>
              </w:tc>
            </w:tr>
          </w:tbl>
          <w:p w14:paraId="2C398C76">
            <w:pPr>
              <w:adjustRightInd w:val="0"/>
              <w:snapToGrid w:val="0"/>
              <w:ind w:firstLine="480"/>
              <w:rPr>
                <w:color w:val="auto"/>
              </w:rPr>
            </w:pPr>
            <w:r>
              <w:rPr>
                <w:color w:val="auto"/>
              </w:rPr>
              <w:t>综上，本项目需设置</w:t>
            </w:r>
            <w:r>
              <w:rPr>
                <w:rFonts w:hint="eastAsia"/>
                <w:color w:val="auto"/>
              </w:rPr>
              <w:t>地表水</w:t>
            </w:r>
            <w:r>
              <w:rPr>
                <w:color w:val="auto"/>
              </w:rPr>
              <w:t>专项评价。</w:t>
            </w:r>
          </w:p>
        </w:tc>
      </w:tr>
      <w:tr w14:paraId="00F92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tcMar>
              <w:top w:w="16" w:type="dxa"/>
              <w:left w:w="16" w:type="dxa"/>
              <w:right w:w="16" w:type="dxa"/>
            </w:tcMar>
            <w:vAlign w:val="center"/>
          </w:tcPr>
          <w:p w14:paraId="243FC4DB">
            <w:pPr>
              <w:adjustRightInd w:val="0"/>
              <w:snapToGrid w:val="0"/>
              <w:ind w:firstLine="0" w:firstLineChars="0"/>
              <w:jc w:val="center"/>
              <w:rPr>
                <w:color w:val="auto"/>
                <w:kern w:val="0"/>
              </w:rPr>
            </w:pPr>
            <w:r>
              <w:rPr>
                <w:color w:val="auto"/>
                <w:kern w:val="0"/>
              </w:rPr>
              <w:t>规划情况</w:t>
            </w:r>
          </w:p>
        </w:tc>
        <w:tc>
          <w:tcPr>
            <w:tcW w:w="8611" w:type="dxa"/>
            <w:gridSpan w:val="4"/>
            <w:tcMar>
              <w:top w:w="16" w:type="dxa"/>
              <w:left w:w="16" w:type="dxa"/>
              <w:right w:w="16" w:type="dxa"/>
            </w:tcMar>
            <w:vAlign w:val="center"/>
          </w:tcPr>
          <w:p w14:paraId="3D6FBC8E">
            <w:pPr>
              <w:ind w:firstLine="480"/>
              <w:rPr>
                <w:color w:val="auto"/>
              </w:rPr>
            </w:pPr>
            <w:r>
              <w:rPr>
                <w:color w:val="auto"/>
              </w:rPr>
              <w:t>1、规划名称：《巴中市“十四五”水安全保障规划》</w:t>
            </w:r>
          </w:p>
          <w:p w14:paraId="02A179DE">
            <w:pPr>
              <w:ind w:firstLine="480"/>
              <w:rPr>
                <w:color w:val="auto"/>
              </w:rPr>
            </w:pPr>
            <w:r>
              <w:rPr>
                <w:color w:val="auto"/>
              </w:rPr>
              <w:t>审批机关：巴中市人民政府</w:t>
            </w:r>
          </w:p>
          <w:p w14:paraId="07CCEACE">
            <w:pPr>
              <w:ind w:firstLine="480"/>
              <w:rPr>
                <w:color w:val="auto"/>
              </w:rPr>
            </w:pPr>
            <w:r>
              <w:rPr>
                <w:color w:val="auto"/>
              </w:rPr>
              <w:t>审批文号：巴府发〔2021〕10号</w:t>
            </w:r>
          </w:p>
          <w:p w14:paraId="5B589A4F">
            <w:pPr>
              <w:ind w:firstLine="480"/>
              <w:rPr>
                <w:color w:val="auto"/>
              </w:rPr>
            </w:pPr>
            <w:r>
              <w:rPr>
                <w:rFonts w:hint="eastAsia"/>
                <w:color w:val="auto"/>
              </w:rPr>
              <w:t>2</w:t>
            </w:r>
            <w:r>
              <w:rPr>
                <w:color w:val="auto"/>
              </w:rPr>
              <w:t>、规划名称：《通江县水资源综合规划》</w:t>
            </w:r>
          </w:p>
          <w:p w14:paraId="71249F61">
            <w:pPr>
              <w:ind w:firstLine="480"/>
              <w:rPr>
                <w:color w:val="auto"/>
              </w:rPr>
            </w:pPr>
            <w:r>
              <w:rPr>
                <w:color w:val="auto"/>
              </w:rPr>
              <w:t>审批机关：通江县人民政府</w:t>
            </w:r>
          </w:p>
          <w:p w14:paraId="2503433A">
            <w:pPr>
              <w:ind w:firstLine="480"/>
              <w:rPr>
                <w:color w:val="auto"/>
              </w:rPr>
            </w:pPr>
            <w:r>
              <w:rPr>
                <w:color w:val="auto"/>
              </w:rPr>
              <w:t>审批文号：通府函〔2022〕171号</w:t>
            </w:r>
          </w:p>
          <w:p w14:paraId="0936CCA2">
            <w:pPr>
              <w:ind w:firstLine="480"/>
              <w:rPr>
                <w:color w:val="auto"/>
              </w:rPr>
            </w:pPr>
            <w:r>
              <w:rPr>
                <w:rFonts w:hint="eastAsia"/>
                <w:color w:val="auto"/>
              </w:rPr>
              <w:t>3</w:t>
            </w:r>
            <w:r>
              <w:rPr>
                <w:color w:val="auto"/>
              </w:rPr>
              <w:t>、规划名称：《巴中市高标准农田建设规划（2021—2030年）》</w:t>
            </w:r>
          </w:p>
          <w:p w14:paraId="16551E0C">
            <w:pPr>
              <w:ind w:firstLine="480"/>
              <w:rPr>
                <w:color w:val="auto"/>
              </w:rPr>
            </w:pPr>
            <w:r>
              <w:rPr>
                <w:color w:val="auto"/>
              </w:rPr>
              <w:t>审批机关：巴中市人民政府</w:t>
            </w:r>
          </w:p>
          <w:p w14:paraId="5A6E78DE">
            <w:pPr>
              <w:ind w:firstLine="480"/>
              <w:rPr>
                <w:color w:val="auto"/>
              </w:rPr>
            </w:pPr>
            <w:r>
              <w:rPr>
                <w:color w:val="auto"/>
              </w:rPr>
              <w:t>审批文号：</w:t>
            </w:r>
            <w:r>
              <w:rPr>
                <w:rFonts w:hint="eastAsia"/>
                <w:color w:val="auto"/>
              </w:rPr>
              <w:t>巴</w:t>
            </w:r>
            <w:r>
              <w:rPr>
                <w:color w:val="auto"/>
              </w:rPr>
              <w:t>府函〔2022〕1</w:t>
            </w:r>
            <w:r>
              <w:rPr>
                <w:rFonts w:hint="eastAsia"/>
                <w:color w:val="auto"/>
              </w:rPr>
              <w:t>88</w:t>
            </w:r>
            <w:r>
              <w:rPr>
                <w:color w:val="auto"/>
              </w:rPr>
              <w:t>号</w:t>
            </w:r>
          </w:p>
          <w:p w14:paraId="5B1FB390">
            <w:pPr>
              <w:ind w:firstLine="480"/>
              <w:rPr>
                <w:color w:val="auto"/>
              </w:rPr>
            </w:pPr>
            <w:r>
              <w:rPr>
                <w:rFonts w:hint="eastAsia"/>
                <w:color w:val="auto"/>
              </w:rPr>
              <w:t>4</w:t>
            </w:r>
            <w:r>
              <w:rPr>
                <w:color w:val="auto"/>
              </w:rPr>
              <w:t>、规划名称：</w:t>
            </w:r>
            <w:r>
              <w:rPr>
                <w:rFonts w:hint="eastAsia"/>
                <w:color w:val="auto"/>
              </w:rPr>
              <w:t>《通江县“十四五”水安全保障规划（2021—2025年）》</w:t>
            </w:r>
          </w:p>
          <w:p w14:paraId="6A389020">
            <w:pPr>
              <w:ind w:firstLine="480"/>
              <w:rPr>
                <w:color w:val="auto"/>
              </w:rPr>
            </w:pPr>
            <w:r>
              <w:rPr>
                <w:color w:val="auto"/>
              </w:rPr>
              <w:t>审批机关：</w:t>
            </w:r>
            <w:r>
              <w:rPr>
                <w:rFonts w:hint="eastAsia"/>
                <w:color w:val="auto"/>
              </w:rPr>
              <w:t>通江县</w:t>
            </w:r>
            <w:r>
              <w:rPr>
                <w:color w:val="auto"/>
              </w:rPr>
              <w:t>人民政府</w:t>
            </w:r>
          </w:p>
          <w:p w14:paraId="16FDFC49">
            <w:pPr>
              <w:ind w:firstLine="480"/>
              <w:rPr>
                <w:color w:val="auto"/>
              </w:rPr>
            </w:pPr>
            <w:r>
              <w:rPr>
                <w:color w:val="auto"/>
              </w:rPr>
              <w:t>审批文号：通府</w:t>
            </w:r>
            <w:r>
              <w:rPr>
                <w:rFonts w:hint="eastAsia"/>
                <w:color w:val="auto"/>
              </w:rPr>
              <w:t>发</w:t>
            </w:r>
            <w:r>
              <w:rPr>
                <w:color w:val="auto"/>
              </w:rPr>
              <w:t>〔2022〕</w:t>
            </w:r>
            <w:r>
              <w:rPr>
                <w:rFonts w:hint="eastAsia"/>
                <w:color w:val="auto"/>
              </w:rPr>
              <w:t>15</w:t>
            </w:r>
            <w:r>
              <w:rPr>
                <w:color w:val="auto"/>
              </w:rPr>
              <w:t>号</w:t>
            </w:r>
          </w:p>
          <w:p w14:paraId="28C43C23">
            <w:pPr>
              <w:ind w:firstLine="480"/>
              <w:rPr>
                <w:color w:val="auto"/>
              </w:rPr>
            </w:pPr>
            <w:r>
              <w:rPr>
                <w:rFonts w:hint="eastAsia"/>
                <w:color w:val="auto"/>
              </w:rPr>
              <w:t>5</w:t>
            </w:r>
            <w:r>
              <w:rPr>
                <w:color w:val="auto"/>
              </w:rPr>
              <w:t>、规划名称：《通江县国土空间总体规划（2021—2035年）》</w:t>
            </w:r>
          </w:p>
          <w:p w14:paraId="0B43C65C">
            <w:pPr>
              <w:ind w:firstLine="480"/>
              <w:rPr>
                <w:color w:val="auto"/>
              </w:rPr>
            </w:pPr>
            <w:r>
              <w:rPr>
                <w:color w:val="auto"/>
              </w:rPr>
              <w:t>审批机关：</w:t>
            </w:r>
            <w:r>
              <w:rPr>
                <w:rFonts w:hint="eastAsia"/>
                <w:color w:val="auto"/>
              </w:rPr>
              <w:t>四川省</w:t>
            </w:r>
            <w:r>
              <w:rPr>
                <w:color w:val="auto"/>
              </w:rPr>
              <w:t>人民政府</w:t>
            </w:r>
          </w:p>
          <w:p w14:paraId="421D8160">
            <w:pPr>
              <w:ind w:firstLine="480"/>
              <w:rPr>
                <w:color w:val="auto"/>
              </w:rPr>
            </w:pPr>
            <w:r>
              <w:rPr>
                <w:color w:val="auto"/>
              </w:rPr>
              <w:t>审批文号：</w:t>
            </w:r>
            <w:r>
              <w:rPr>
                <w:rFonts w:hint="eastAsia"/>
                <w:color w:val="auto"/>
              </w:rPr>
              <w:t>川</w:t>
            </w:r>
            <w:r>
              <w:rPr>
                <w:color w:val="auto"/>
              </w:rPr>
              <w:t>府函〔202</w:t>
            </w:r>
            <w:r>
              <w:rPr>
                <w:rFonts w:hint="eastAsia"/>
                <w:color w:val="auto"/>
              </w:rPr>
              <w:t>4</w:t>
            </w:r>
            <w:r>
              <w:rPr>
                <w:color w:val="auto"/>
              </w:rPr>
              <w:t>〕1</w:t>
            </w:r>
            <w:r>
              <w:rPr>
                <w:rFonts w:hint="eastAsia"/>
                <w:color w:val="auto"/>
              </w:rPr>
              <w:t>66</w:t>
            </w:r>
            <w:r>
              <w:rPr>
                <w:color w:val="auto"/>
              </w:rPr>
              <w:t>号</w:t>
            </w:r>
          </w:p>
        </w:tc>
      </w:tr>
      <w:tr w14:paraId="14978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133" w:type="dxa"/>
            <w:tcMar>
              <w:top w:w="16" w:type="dxa"/>
              <w:left w:w="16" w:type="dxa"/>
              <w:right w:w="16" w:type="dxa"/>
            </w:tcMar>
            <w:vAlign w:val="center"/>
          </w:tcPr>
          <w:p w14:paraId="70F760A8">
            <w:pPr>
              <w:adjustRightInd w:val="0"/>
              <w:snapToGrid w:val="0"/>
              <w:ind w:firstLine="0" w:firstLineChars="0"/>
              <w:jc w:val="center"/>
              <w:rPr>
                <w:color w:val="auto"/>
                <w:kern w:val="0"/>
              </w:rPr>
            </w:pPr>
            <w:r>
              <w:rPr>
                <w:color w:val="auto"/>
                <w:kern w:val="0"/>
              </w:rPr>
              <w:t>规划环境影响评价情况</w:t>
            </w:r>
          </w:p>
        </w:tc>
        <w:tc>
          <w:tcPr>
            <w:tcW w:w="8611" w:type="dxa"/>
            <w:gridSpan w:val="4"/>
            <w:tcMar>
              <w:top w:w="16" w:type="dxa"/>
              <w:left w:w="16" w:type="dxa"/>
              <w:right w:w="16" w:type="dxa"/>
            </w:tcMar>
            <w:vAlign w:val="center"/>
          </w:tcPr>
          <w:p w14:paraId="5D43FEEC">
            <w:pPr>
              <w:adjustRightInd w:val="0"/>
              <w:snapToGrid w:val="0"/>
              <w:ind w:firstLine="480"/>
              <w:rPr>
                <w:color w:val="auto"/>
                <w:kern w:val="0"/>
              </w:rPr>
            </w:pPr>
            <w:r>
              <w:rPr>
                <w:rFonts w:hint="eastAsia"/>
                <w:color w:val="auto"/>
                <w:kern w:val="0"/>
              </w:rPr>
              <w:t>无</w:t>
            </w:r>
          </w:p>
        </w:tc>
      </w:tr>
      <w:tr w14:paraId="5E8129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1133" w:type="dxa"/>
            <w:tcMar>
              <w:top w:w="16" w:type="dxa"/>
              <w:left w:w="16" w:type="dxa"/>
              <w:right w:w="16" w:type="dxa"/>
            </w:tcMar>
            <w:vAlign w:val="center"/>
          </w:tcPr>
          <w:p w14:paraId="14FDE7F4">
            <w:pPr>
              <w:adjustRightInd w:val="0"/>
              <w:snapToGrid w:val="0"/>
              <w:ind w:firstLine="0" w:firstLineChars="0"/>
              <w:jc w:val="center"/>
              <w:rPr>
                <w:color w:val="auto"/>
                <w:kern w:val="0"/>
              </w:rPr>
            </w:pPr>
            <w:r>
              <w:rPr>
                <w:color w:val="auto"/>
                <w:kern w:val="0"/>
              </w:rPr>
              <w:t>规划及规划环境影响评价符合性分析</w:t>
            </w:r>
          </w:p>
        </w:tc>
        <w:tc>
          <w:tcPr>
            <w:tcW w:w="8611" w:type="dxa"/>
            <w:gridSpan w:val="4"/>
            <w:tcMar>
              <w:top w:w="16" w:type="dxa"/>
              <w:left w:w="16" w:type="dxa"/>
              <w:right w:w="16" w:type="dxa"/>
            </w:tcMar>
            <w:vAlign w:val="center"/>
          </w:tcPr>
          <w:p w14:paraId="6BB83A34">
            <w:pPr>
              <w:autoSpaceDE/>
              <w:autoSpaceDN/>
              <w:ind w:firstLine="482"/>
              <w:rPr>
                <w:b/>
                <w:bCs/>
                <w:color w:val="auto"/>
              </w:rPr>
            </w:pPr>
            <w:r>
              <w:rPr>
                <w:b/>
                <w:bCs/>
                <w:color w:val="auto"/>
              </w:rPr>
              <w:t>1、与《巴中市“十四五”水安全保障规划》符合性分析</w:t>
            </w:r>
          </w:p>
          <w:p w14:paraId="159DD06F">
            <w:pPr>
              <w:autoSpaceDE/>
              <w:autoSpaceDN/>
              <w:ind w:firstLine="480"/>
              <w:rPr>
                <w:color w:val="auto"/>
              </w:rPr>
            </w:pPr>
            <w:r>
              <w:rPr>
                <w:color w:val="auto"/>
              </w:rPr>
              <w:t>2021年9月17日，巴中市人民政府印发了《巴中市“十四五”水安全保障规划》</w:t>
            </w:r>
            <w:r>
              <w:rPr>
                <w:rFonts w:hint="eastAsia"/>
                <w:color w:val="auto"/>
              </w:rPr>
              <w:t>（</w:t>
            </w:r>
            <w:r>
              <w:rPr>
                <w:color w:val="auto"/>
              </w:rPr>
              <w:t>巴府发〔2021〕10号</w:t>
            </w:r>
            <w:r>
              <w:rPr>
                <w:rFonts w:hint="eastAsia"/>
                <w:color w:val="auto"/>
              </w:rPr>
              <w:t>），</w:t>
            </w:r>
            <w:r>
              <w:rPr>
                <w:color w:val="auto"/>
              </w:rPr>
              <w:t>本项目与该规划的符合性见下表。</w:t>
            </w:r>
          </w:p>
          <w:p w14:paraId="6251E965">
            <w:pPr>
              <w:pStyle w:val="17"/>
              <w:rPr>
                <w:rFonts w:hint="default"/>
                <w:color w:val="auto"/>
              </w:rPr>
            </w:pPr>
            <w:r>
              <w:rPr>
                <w:color w:val="auto"/>
              </w:rPr>
              <w:t>表1-2 项目与《巴中市“十四五”水安全保障规划》符合性分析</w:t>
            </w:r>
          </w:p>
          <w:tbl>
            <w:tblPr>
              <w:tblStyle w:val="1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59"/>
              <w:gridCol w:w="1999"/>
              <w:gridCol w:w="1021"/>
            </w:tblGrid>
            <w:tr w14:paraId="6EF1A7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vAlign w:val="center"/>
                </w:tcPr>
                <w:p w14:paraId="7B73B4EF">
                  <w:pPr>
                    <w:pStyle w:val="16"/>
                    <w:jc w:val="center"/>
                    <w:rPr>
                      <w:color w:val="auto"/>
                    </w:rPr>
                  </w:pPr>
                  <w:r>
                    <w:rPr>
                      <w:color w:val="auto"/>
                    </w:rPr>
                    <w:t>《巴中市“十四五”水安全保障规划》相关内容</w:t>
                  </w:r>
                </w:p>
              </w:tc>
              <w:tc>
                <w:tcPr>
                  <w:tcW w:w="1580" w:type="dxa"/>
                  <w:tcBorders>
                    <w:tl2br w:val="nil"/>
                    <w:tr2bl w:val="nil"/>
                  </w:tcBorders>
                  <w:vAlign w:val="center"/>
                </w:tcPr>
                <w:p w14:paraId="20F12E96">
                  <w:pPr>
                    <w:pStyle w:val="16"/>
                    <w:jc w:val="center"/>
                    <w:rPr>
                      <w:color w:val="auto"/>
                    </w:rPr>
                  </w:pPr>
                  <w:r>
                    <w:rPr>
                      <w:rFonts w:hint="eastAsia"/>
                      <w:color w:val="auto"/>
                    </w:rPr>
                    <w:t>本项目具体情况</w:t>
                  </w:r>
                </w:p>
              </w:tc>
              <w:tc>
                <w:tcPr>
                  <w:tcW w:w="807" w:type="dxa"/>
                  <w:tcBorders>
                    <w:tl2br w:val="nil"/>
                    <w:tr2bl w:val="nil"/>
                  </w:tcBorders>
                  <w:vAlign w:val="center"/>
                </w:tcPr>
                <w:p w14:paraId="5F94EA69">
                  <w:pPr>
                    <w:pStyle w:val="16"/>
                    <w:jc w:val="center"/>
                    <w:rPr>
                      <w:color w:val="auto"/>
                    </w:rPr>
                  </w:pPr>
                  <w:r>
                    <w:rPr>
                      <w:rFonts w:hint="eastAsia"/>
                      <w:color w:val="auto"/>
                    </w:rPr>
                    <w:t>符合性</w:t>
                  </w:r>
                </w:p>
              </w:tc>
            </w:tr>
            <w:tr w14:paraId="5CCE0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vAlign w:val="center"/>
                </w:tcPr>
                <w:p w14:paraId="47B93531">
                  <w:pPr>
                    <w:pStyle w:val="16"/>
                    <w:rPr>
                      <w:color w:val="auto"/>
                    </w:rPr>
                  </w:pPr>
                  <w:r>
                    <w:rPr>
                      <w:color w:val="auto"/>
                    </w:rPr>
                    <w:t>在供水保障方面--加快推进重点水利工程建设。建成一批生态水利工程，城乡供水保障和</w:t>
                  </w:r>
                  <w:r>
                    <w:rPr>
                      <w:rFonts w:hint="eastAsia"/>
                      <w:color w:val="auto"/>
                    </w:rPr>
                    <w:t>抗旱</w:t>
                  </w:r>
                  <w:r>
                    <w:rPr>
                      <w:color w:val="auto"/>
                    </w:rPr>
                    <w:t>应急能力明显增强，规模化供水覆盖程度明显提高，全市水利工程新增年供水能力0.5亿m</w:t>
                  </w:r>
                  <w:r>
                    <w:rPr>
                      <w:rFonts w:hint="eastAsia"/>
                      <w:color w:val="auto"/>
                      <w:vertAlign w:val="superscript"/>
                    </w:rPr>
                    <w:t>3</w:t>
                  </w:r>
                  <w:r>
                    <w:rPr>
                      <w:rFonts w:hint="eastAsia"/>
                      <w:color w:val="auto"/>
                    </w:rPr>
                    <w:t>；</w:t>
                  </w:r>
                  <w:r>
                    <w:rPr>
                      <w:color w:val="auto"/>
                    </w:rPr>
                    <w:t>按照“十四五”农村供水保障现行标准</w:t>
                  </w:r>
                  <w:r>
                    <w:rPr>
                      <w:rFonts w:hint="eastAsia"/>
                      <w:color w:val="auto"/>
                    </w:rPr>
                    <w:t>（</w:t>
                  </w:r>
                  <w:r>
                    <w:rPr>
                      <w:color w:val="auto"/>
                    </w:rPr>
                    <w:t>供水20人至100人的小型供水工程降等为分散供水工程，不纳入集中供水率和自来水普及率统计</w:t>
                  </w:r>
                  <w:r>
                    <w:rPr>
                      <w:rFonts w:hint="eastAsia"/>
                      <w:color w:val="auto"/>
                    </w:rPr>
                    <w:t>）</w:t>
                  </w:r>
                  <w:r>
                    <w:rPr>
                      <w:color w:val="auto"/>
                    </w:rPr>
                    <w:t>，农村自来水普及率达到88%以上，规模化供水率达到55%以上。</w:t>
                  </w:r>
                </w:p>
              </w:tc>
              <w:tc>
                <w:tcPr>
                  <w:tcW w:w="1580" w:type="dxa"/>
                  <w:tcBorders>
                    <w:tl2br w:val="nil"/>
                    <w:tr2bl w:val="nil"/>
                  </w:tcBorders>
                  <w:vAlign w:val="center"/>
                </w:tcPr>
                <w:p w14:paraId="273A60F5">
                  <w:pPr>
                    <w:pStyle w:val="16"/>
                    <w:rPr>
                      <w:color w:val="auto"/>
                    </w:rPr>
                  </w:pPr>
                  <w:r>
                    <w:rPr>
                      <w:rFonts w:hint="eastAsia"/>
                      <w:color w:val="auto"/>
                    </w:rPr>
                    <w:t>本项目主要解决移民区及其周边村18393人的饮水安全问题及11270亩农田灌溉问题，供水量仅</w:t>
                  </w:r>
                  <w:r>
                    <w:rPr>
                      <w:color w:val="auto"/>
                    </w:rPr>
                    <w:t>303.72</w:t>
                  </w:r>
                  <w:r>
                    <w:rPr>
                      <w:rFonts w:hint="eastAsia"/>
                      <w:color w:val="auto"/>
                    </w:rPr>
                    <w:t>万m</w:t>
                  </w:r>
                  <w:r>
                    <w:rPr>
                      <w:color w:val="auto"/>
                      <w:vertAlign w:val="superscript"/>
                    </w:rPr>
                    <w:t>3</w:t>
                  </w:r>
                  <w:r>
                    <w:rPr>
                      <w:rFonts w:hint="eastAsia"/>
                      <w:color w:val="auto"/>
                    </w:rPr>
                    <w:t>，提高</w:t>
                  </w:r>
                  <w:r>
                    <w:rPr>
                      <w:color w:val="auto"/>
                    </w:rPr>
                    <w:t>农村自来水普及率</w:t>
                  </w:r>
                  <w:r>
                    <w:rPr>
                      <w:rFonts w:hint="eastAsia"/>
                      <w:color w:val="auto"/>
                    </w:rPr>
                    <w:t>和</w:t>
                  </w:r>
                  <w:r>
                    <w:rPr>
                      <w:color w:val="auto"/>
                    </w:rPr>
                    <w:t>规模化供水率</w:t>
                  </w:r>
                  <w:r>
                    <w:rPr>
                      <w:rFonts w:hint="eastAsia"/>
                      <w:color w:val="auto"/>
                    </w:rPr>
                    <w:t>。</w:t>
                  </w:r>
                </w:p>
              </w:tc>
              <w:tc>
                <w:tcPr>
                  <w:tcW w:w="807" w:type="dxa"/>
                  <w:tcBorders>
                    <w:tl2br w:val="nil"/>
                    <w:tr2bl w:val="nil"/>
                  </w:tcBorders>
                  <w:vAlign w:val="center"/>
                </w:tcPr>
                <w:p w14:paraId="05A66DC6">
                  <w:pPr>
                    <w:pStyle w:val="16"/>
                    <w:jc w:val="center"/>
                    <w:rPr>
                      <w:color w:val="auto"/>
                    </w:rPr>
                  </w:pPr>
                  <w:r>
                    <w:rPr>
                      <w:rFonts w:hint="eastAsia"/>
                      <w:color w:val="auto"/>
                    </w:rPr>
                    <w:t>符合</w:t>
                  </w:r>
                </w:p>
              </w:tc>
            </w:tr>
            <w:tr w14:paraId="45C05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vAlign w:val="center"/>
                </w:tcPr>
                <w:p w14:paraId="66B3A8F3">
                  <w:pPr>
                    <w:pStyle w:val="16"/>
                    <w:rPr>
                      <w:color w:val="auto"/>
                    </w:rPr>
                  </w:pPr>
                  <w:r>
                    <w:rPr>
                      <w:color w:val="auto"/>
                    </w:rPr>
                    <w:t>“十四五”期间，按照城乡区域协调发展和乡村振兴战略部署，充分发挥已建工程效益，聚焦民生改善，按照“标准化提升、现代化管理、优质化服务”的思路，采取工程配套、改造、升级、联网、新建等方式，以乡镇为单元，整体推进农村饮水安全巩固提升。大力推进城乡一体化规模化农村供水工程建设，加强分散小型农村供水工程标准化建设，强化饮用水水源保护，深化工程建设和管护体制机制改革，建立合理水价形成和水费收缴机制，不断提升供水保障水平。按照“建大、并中、减小”的思路，实施规模化农村供水工程、规范化小型供水工程、老旧供水工程改造和管网延伸等三大重点工程</w:t>
                  </w:r>
                  <w:r>
                    <w:rPr>
                      <w:rFonts w:hint="eastAsia"/>
                      <w:color w:val="auto"/>
                    </w:rPr>
                    <w:t>。</w:t>
                  </w:r>
                </w:p>
              </w:tc>
              <w:tc>
                <w:tcPr>
                  <w:tcW w:w="1580" w:type="dxa"/>
                  <w:tcBorders>
                    <w:tl2br w:val="nil"/>
                    <w:tr2bl w:val="nil"/>
                  </w:tcBorders>
                  <w:vAlign w:val="center"/>
                </w:tcPr>
                <w:p w14:paraId="15655782">
                  <w:pPr>
                    <w:pStyle w:val="16"/>
                    <w:rPr>
                      <w:color w:val="auto"/>
                    </w:rPr>
                  </w:pPr>
                  <w:r>
                    <w:rPr>
                      <w:rFonts w:hint="eastAsia"/>
                      <w:color w:val="auto"/>
                    </w:rPr>
                    <w:t>本项目属于铁佛镇供水管网项目，主要解决移民区及其周边村18393人的饮水安全问题及11270亩农田灌溉问题，属于</w:t>
                  </w:r>
                  <w:r>
                    <w:rPr>
                      <w:color w:val="auto"/>
                    </w:rPr>
                    <w:t>农村饮水安全巩固提升</w:t>
                  </w:r>
                  <w:r>
                    <w:rPr>
                      <w:rFonts w:hint="eastAsia"/>
                      <w:color w:val="auto"/>
                    </w:rPr>
                    <w:t>工程。</w:t>
                  </w:r>
                </w:p>
              </w:tc>
              <w:tc>
                <w:tcPr>
                  <w:tcW w:w="807" w:type="dxa"/>
                  <w:tcBorders>
                    <w:tl2br w:val="nil"/>
                    <w:tr2bl w:val="nil"/>
                  </w:tcBorders>
                  <w:vAlign w:val="center"/>
                </w:tcPr>
                <w:p w14:paraId="6BDAD8E9">
                  <w:pPr>
                    <w:pStyle w:val="16"/>
                    <w:jc w:val="center"/>
                    <w:rPr>
                      <w:color w:val="auto"/>
                    </w:rPr>
                  </w:pPr>
                  <w:r>
                    <w:rPr>
                      <w:rFonts w:hint="eastAsia"/>
                      <w:color w:val="auto"/>
                    </w:rPr>
                    <w:t>符合</w:t>
                  </w:r>
                </w:p>
              </w:tc>
            </w:tr>
            <w:tr w14:paraId="1BC43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vAlign w:val="center"/>
                </w:tcPr>
                <w:p w14:paraId="7EA8C714">
                  <w:pPr>
                    <w:pStyle w:val="16"/>
                    <w:rPr>
                      <w:color w:val="auto"/>
                    </w:rPr>
                  </w:pPr>
                  <w:r>
                    <w:rPr>
                      <w:color w:val="auto"/>
                    </w:rPr>
                    <w:t>农村饮水安全巩固提升。“十四五”期间，持续以保障农村居民饮水安全为第一要务，建立完整、长效、良性、科学的运行管理机制，强化水厂运行和管网运行管理，加强水源水质监测与检测工作</w:t>
                  </w:r>
                  <w:r>
                    <w:rPr>
                      <w:rFonts w:hint="eastAsia"/>
                      <w:color w:val="auto"/>
                    </w:rPr>
                    <w:t>；</w:t>
                  </w:r>
                  <w:r>
                    <w:rPr>
                      <w:color w:val="auto"/>
                    </w:rPr>
                    <w:t>建立合理水价形成机制，分工程核定水价，实行有偿使用，并积极推行计划用水、节约用水</w:t>
                  </w:r>
                  <w:r>
                    <w:rPr>
                      <w:rFonts w:hint="eastAsia"/>
                      <w:color w:val="auto"/>
                    </w:rPr>
                    <w:t>；</w:t>
                  </w:r>
                  <w:r>
                    <w:rPr>
                      <w:color w:val="auto"/>
                    </w:rPr>
                    <w:t>建立饮用水水源保护机制</w:t>
                  </w:r>
                  <w:r>
                    <w:rPr>
                      <w:rFonts w:hint="eastAsia"/>
                      <w:color w:val="auto"/>
                    </w:rPr>
                    <w:t>；</w:t>
                  </w:r>
                  <w:r>
                    <w:rPr>
                      <w:color w:val="auto"/>
                    </w:rPr>
                    <w:t>推行企业、协会等多种经营管理模式并存的运行机制，促进工程效益发挥，全面巩固拓展农村饮水安全脱贫攻坚成果。同时进一步提高农村自来水普及率和规模化供水率，推进建设一批规模化农村供水工程，实现城乡供水融合发展</w:t>
                  </w:r>
                  <w:r>
                    <w:rPr>
                      <w:rFonts w:hint="eastAsia"/>
                      <w:color w:val="auto"/>
                    </w:rPr>
                    <w:t>；</w:t>
                  </w:r>
                  <w:r>
                    <w:rPr>
                      <w:color w:val="auto"/>
                    </w:rPr>
                    <w:t>建设改造一批规范化小型供水工程，整体提升农村供水水平</w:t>
                  </w:r>
                  <w:r>
                    <w:rPr>
                      <w:rFonts w:hint="eastAsia"/>
                      <w:color w:val="auto"/>
                    </w:rPr>
                    <w:t>；</w:t>
                  </w:r>
                  <w:r>
                    <w:rPr>
                      <w:color w:val="auto"/>
                    </w:rPr>
                    <w:t>更新改造一批老旧供水工程和管网</w:t>
                  </w:r>
                  <w:r>
                    <w:rPr>
                      <w:rFonts w:hint="eastAsia"/>
                      <w:color w:val="auto"/>
                    </w:rPr>
                    <w:t>；</w:t>
                  </w:r>
                  <w:r>
                    <w:rPr>
                      <w:color w:val="auto"/>
                    </w:rPr>
                    <w:t>补齐农村供水设施短板，为实现农村供水长效运行创造条件。建设南江县熊包梁供水扩建工程、巴州区龙头寨、恩阳区雪山、通江县铁佛等一批千吨万人供水工程，着力提升农村饮水安全能力。</w:t>
                  </w:r>
                </w:p>
              </w:tc>
              <w:tc>
                <w:tcPr>
                  <w:tcW w:w="1580" w:type="dxa"/>
                  <w:tcBorders>
                    <w:tl2br w:val="nil"/>
                    <w:tr2bl w:val="nil"/>
                  </w:tcBorders>
                  <w:vAlign w:val="center"/>
                </w:tcPr>
                <w:p w14:paraId="2BEA4526">
                  <w:pPr>
                    <w:pStyle w:val="16"/>
                    <w:rPr>
                      <w:color w:val="auto"/>
                    </w:rPr>
                  </w:pPr>
                  <w:r>
                    <w:rPr>
                      <w:rFonts w:hint="eastAsia"/>
                      <w:color w:val="auto"/>
                    </w:rPr>
                    <w:t>本项目属于铁佛镇供水管网项目，主要解决移民区及其周边村18393人的饮水安全问题及11270亩农田灌溉问题，属于文件提到的</w:t>
                  </w:r>
                  <w:r>
                    <w:rPr>
                      <w:color w:val="auto"/>
                    </w:rPr>
                    <w:t>千吨万人供水工程</w:t>
                  </w:r>
                  <w:r>
                    <w:rPr>
                      <w:rFonts w:hint="eastAsia"/>
                      <w:color w:val="auto"/>
                    </w:rPr>
                    <w:t>。</w:t>
                  </w:r>
                </w:p>
              </w:tc>
              <w:tc>
                <w:tcPr>
                  <w:tcW w:w="807" w:type="dxa"/>
                  <w:tcBorders>
                    <w:tl2br w:val="nil"/>
                    <w:tr2bl w:val="nil"/>
                  </w:tcBorders>
                  <w:vAlign w:val="center"/>
                </w:tcPr>
                <w:p w14:paraId="556B9872">
                  <w:pPr>
                    <w:pStyle w:val="16"/>
                    <w:jc w:val="center"/>
                    <w:rPr>
                      <w:color w:val="auto"/>
                    </w:rPr>
                  </w:pPr>
                  <w:r>
                    <w:rPr>
                      <w:rFonts w:hint="eastAsia"/>
                      <w:color w:val="auto"/>
                    </w:rPr>
                    <w:t>符合</w:t>
                  </w:r>
                </w:p>
              </w:tc>
            </w:tr>
            <w:tr w14:paraId="7FCC82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4" w:type="dxa"/>
                  <w:tcBorders>
                    <w:tl2br w:val="nil"/>
                    <w:tr2bl w:val="nil"/>
                  </w:tcBorders>
                  <w:vAlign w:val="center"/>
                </w:tcPr>
                <w:p w14:paraId="52AC318C">
                  <w:pPr>
                    <w:pStyle w:val="16"/>
                    <w:rPr>
                      <w:color w:val="auto"/>
                    </w:rPr>
                  </w:pPr>
                  <w:r>
                    <w:rPr>
                      <w:color w:val="auto"/>
                    </w:rPr>
                    <w:t>加快推进灌区续建配套是构建城乡统筹的供水网络体系的重要一环。围绕乡村振兴战略，加快推进大中型灌区续建配套与现代化改造，提高灌溉供水保障率，提高农业综合生产能力，保障粮食生产安全。</w:t>
                  </w:r>
                </w:p>
              </w:tc>
              <w:tc>
                <w:tcPr>
                  <w:tcW w:w="1580" w:type="dxa"/>
                  <w:tcBorders>
                    <w:tl2br w:val="nil"/>
                    <w:tr2bl w:val="nil"/>
                  </w:tcBorders>
                  <w:vAlign w:val="center"/>
                </w:tcPr>
                <w:p w14:paraId="32F5A778">
                  <w:pPr>
                    <w:pStyle w:val="16"/>
                    <w:rPr>
                      <w:color w:val="auto"/>
                    </w:rPr>
                  </w:pPr>
                  <w:r>
                    <w:rPr>
                      <w:rFonts w:hint="eastAsia"/>
                      <w:color w:val="auto"/>
                    </w:rPr>
                    <w:t>本项目主要解决移民区及其周边村18393人的饮水安全问题及11270亩农田灌溉问题，能</w:t>
                  </w:r>
                  <w:r>
                    <w:rPr>
                      <w:color w:val="auto"/>
                    </w:rPr>
                    <w:t>提高灌溉供水保障率</w:t>
                  </w:r>
                  <w:r>
                    <w:rPr>
                      <w:rFonts w:hint="eastAsia"/>
                      <w:color w:val="auto"/>
                    </w:rPr>
                    <w:t>。</w:t>
                  </w:r>
                </w:p>
              </w:tc>
              <w:tc>
                <w:tcPr>
                  <w:tcW w:w="807" w:type="dxa"/>
                  <w:tcBorders>
                    <w:tl2br w:val="nil"/>
                    <w:tr2bl w:val="nil"/>
                  </w:tcBorders>
                  <w:vAlign w:val="center"/>
                </w:tcPr>
                <w:p w14:paraId="152677BE">
                  <w:pPr>
                    <w:pStyle w:val="16"/>
                    <w:jc w:val="center"/>
                    <w:rPr>
                      <w:color w:val="auto"/>
                    </w:rPr>
                  </w:pPr>
                  <w:r>
                    <w:rPr>
                      <w:rFonts w:hint="eastAsia"/>
                      <w:color w:val="auto"/>
                    </w:rPr>
                    <w:t>符合</w:t>
                  </w:r>
                </w:p>
              </w:tc>
            </w:tr>
          </w:tbl>
          <w:p w14:paraId="2FCFC633">
            <w:pPr>
              <w:autoSpaceDE/>
              <w:autoSpaceDN/>
              <w:ind w:firstLine="482"/>
              <w:rPr>
                <w:b/>
                <w:bCs/>
                <w:color w:val="auto"/>
              </w:rPr>
            </w:pPr>
          </w:p>
          <w:p w14:paraId="63CA5BB5">
            <w:pPr>
              <w:autoSpaceDE/>
              <w:autoSpaceDN/>
              <w:ind w:firstLine="482"/>
              <w:rPr>
                <w:b/>
                <w:bCs/>
                <w:color w:val="auto"/>
              </w:rPr>
            </w:pPr>
            <w:r>
              <w:rPr>
                <w:rFonts w:hint="eastAsia"/>
                <w:b/>
                <w:bCs/>
                <w:color w:val="auto"/>
              </w:rPr>
              <w:t>2、项目与《通江县水资源综合规划》符合性分析</w:t>
            </w:r>
          </w:p>
          <w:p w14:paraId="652D1E52">
            <w:pPr>
              <w:ind w:firstLine="480"/>
              <w:rPr>
                <w:color w:val="auto"/>
                <w:szCs w:val="28"/>
              </w:rPr>
            </w:pPr>
            <w:r>
              <w:rPr>
                <w:rFonts w:hint="eastAsia"/>
                <w:color w:val="auto"/>
                <w:kern w:val="0"/>
              </w:rPr>
              <w:t>根据</w:t>
            </w:r>
            <w:r>
              <w:rPr>
                <w:color w:val="auto"/>
                <w:kern w:val="0"/>
              </w:rPr>
              <w:t>《</w:t>
            </w:r>
            <w:r>
              <w:rPr>
                <w:rFonts w:hint="eastAsia"/>
                <w:color w:val="auto"/>
                <w:kern w:val="0"/>
              </w:rPr>
              <w:t>通江县水资源</w:t>
            </w:r>
            <w:r>
              <w:rPr>
                <w:color w:val="auto"/>
                <w:kern w:val="0"/>
              </w:rPr>
              <w:t>综合规划》</w:t>
            </w:r>
            <w:r>
              <w:rPr>
                <w:rFonts w:hint="eastAsia"/>
                <w:color w:val="auto"/>
                <w:kern w:val="0"/>
              </w:rPr>
              <w:t>，</w:t>
            </w:r>
            <w:r>
              <w:rPr>
                <w:color w:val="auto"/>
                <w:szCs w:val="28"/>
              </w:rPr>
              <w:t>通江县现有中型灌区（1.0万亩以上）3处，设计灌面4.76万亩，现状有效灌面2.08万亩。规划开展大井坝水库灌区、流里河水库灌区、七道河水库灌区等3座中型灌区的续建配套与节水改造，续建渠系14.7km，整治渠系22.7km，新增有效灌溉面积1.13万亩</w:t>
            </w:r>
            <w:r>
              <w:rPr>
                <w:rFonts w:hint="eastAsia"/>
                <w:color w:val="auto"/>
                <w:szCs w:val="28"/>
              </w:rPr>
              <w:t>，多年平均新增供水量169.5万m³</w:t>
            </w:r>
            <w:r>
              <w:rPr>
                <w:color w:val="auto"/>
                <w:szCs w:val="28"/>
              </w:rPr>
              <w:t>。通江县现有小型灌区（1.0万亩以下）69处，设计灌面5.64万亩，现状有效灌面4.25万亩。规划开展69处小型灌区续建配套与节水改造，新增有效灌溉面积1.4万亩</w:t>
            </w:r>
            <w:r>
              <w:rPr>
                <w:rFonts w:hint="eastAsia"/>
                <w:color w:val="auto"/>
                <w:szCs w:val="28"/>
              </w:rPr>
              <w:t>，多年平均新增供水量168万m³</w:t>
            </w:r>
            <w:r>
              <w:rPr>
                <w:color w:val="auto"/>
                <w:szCs w:val="28"/>
              </w:rPr>
              <w:t>。根据</w:t>
            </w:r>
            <w:r>
              <w:rPr>
                <w:rFonts w:hint="eastAsia"/>
                <w:color w:val="auto"/>
                <w:szCs w:val="28"/>
              </w:rPr>
              <w:t>通江县</w:t>
            </w:r>
            <w:r>
              <w:rPr>
                <w:color w:val="auto"/>
                <w:szCs w:val="28"/>
              </w:rPr>
              <w:t>农村饮水安全巩固提升工程“十三五”规划，规划兴建供水工程553处，新增供水能力61004m³/d，增加受益人口30.68万人；现有城镇水厂管网向农村延伸工程23处，新建管网长度1291.2km；改造配套供水工程71处，改造供水规模42719m³/d。</w:t>
            </w:r>
          </w:p>
          <w:p w14:paraId="0EF11B64">
            <w:pPr>
              <w:ind w:firstLine="480"/>
              <w:rPr>
                <w:color w:val="auto"/>
              </w:rPr>
            </w:pPr>
            <w:r>
              <w:rPr>
                <w:rFonts w:hint="eastAsia"/>
                <w:color w:val="auto"/>
              </w:rPr>
              <w:t>本项目工程主要解决移民区及其周边村18393人的饮水安全问题及11270亩农田灌溉问题。解决</w:t>
            </w:r>
            <w:r>
              <w:rPr>
                <w:color w:val="auto"/>
              </w:rPr>
              <w:t>观山坪村的2000名居民</w:t>
            </w:r>
            <w:r>
              <w:rPr>
                <w:rFonts w:hint="eastAsia"/>
                <w:color w:val="auto"/>
              </w:rPr>
              <w:t>（移民448人，其他群众1852人）用水以及铁佛至麻石片区16393人的居民用水；解决11270亩农田灌溉问题（其中：观山坪村</w:t>
            </w:r>
            <w:r>
              <w:rPr>
                <w:color w:val="auto"/>
              </w:rPr>
              <w:t>1645</w:t>
            </w:r>
            <w:r>
              <w:rPr>
                <w:rFonts w:hint="eastAsia"/>
                <w:color w:val="auto"/>
              </w:rPr>
              <w:t>亩，白土垭村</w:t>
            </w:r>
            <w:r>
              <w:rPr>
                <w:color w:val="auto"/>
              </w:rPr>
              <w:t>1618</w:t>
            </w:r>
            <w:r>
              <w:rPr>
                <w:rFonts w:hint="eastAsia"/>
                <w:color w:val="auto"/>
              </w:rPr>
              <w:t>亩，平坝村</w:t>
            </w:r>
            <w:r>
              <w:rPr>
                <w:color w:val="auto"/>
              </w:rPr>
              <w:t>1288</w:t>
            </w:r>
            <w:r>
              <w:rPr>
                <w:rFonts w:hint="eastAsia"/>
                <w:color w:val="auto"/>
              </w:rPr>
              <w:t>亩，尖包岭村</w:t>
            </w:r>
            <w:r>
              <w:rPr>
                <w:color w:val="auto"/>
              </w:rPr>
              <w:t>1154</w:t>
            </w:r>
            <w:r>
              <w:rPr>
                <w:rFonts w:hint="eastAsia"/>
                <w:color w:val="auto"/>
              </w:rPr>
              <w:t>亩，刘坪社区</w:t>
            </w:r>
            <w:r>
              <w:rPr>
                <w:color w:val="auto"/>
              </w:rPr>
              <w:t>565</w:t>
            </w:r>
            <w:r>
              <w:rPr>
                <w:rFonts w:hint="eastAsia"/>
                <w:color w:val="auto"/>
              </w:rPr>
              <w:t>亩，金斗岩村1000亩，白马村</w:t>
            </w:r>
            <w:r>
              <w:rPr>
                <w:color w:val="auto"/>
              </w:rPr>
              <w:t>2200</w:t>
            </w:r>
            <w:r>
              <w:rPr>
                <w:rFonts w:hint="eastAsia"/>
                <w:color w:val="auto"/>
              </w:rPr>
              <w:t>亩，双泉村</w:t>
            </w:r>
            <w:r>
              <w:rPr>
                <w:color w:val="auto"/>
              </w:rPr>
              <w:t>1800</w:t>
            </w:r>
            <w:r>
              <w:rPr>
                <w:rFonts w:hint="eastAsia"/>
                <w:color w:val="auto"/>
              </w:rPr>
              <w:t>亩）。</w:t>
            </w:r>
          </w:p>
          <w:p w14:paraId="52B47882">
            <w:pPr>
              <w:ind w:firstLine="480"/>
              <w:rPr>
                <w:color w:val="auto"/>
              </w:rPr>
            </w:pPr>
            <w:r>
              <w:rPr>
                <w:rFonts w:hint="eastAsia"/>
                <w:color w:val="auto"/>
              </w:rPr>
              <w:t>本项目</w:t>
            </w:r>
            <w:r>
              <w:rPr>
                <w:color w:val="auto"/>
              </w:rPr>
              <w:t>流</w:t>
            </w:r>
            <w:r>
              <w:rPr>
                <w:color w:val="auto"/>
                <w:lang w:bidi="ar"/>
              </w:rPr>
              <w:t>里河水库</w:t>
            </w:r>
            <w:r>
              <w:rPr>
                <w:rFonts w:hint="eastAsia"/>
                <w:color w:val="auto"/>
                <w:lang w:bidi="ar"/>
              </w:rPr>
              <w:t>人饮</w:t>
            </w:r>
            <w:r>
              <w:rPr>
                <w:color w:val="auto"/>
                <w:lang w:bidi="ar"/>
              </w:rPr>
              <w:t>供水</w:t>
            </w:r>
            <w:r>
              <w:rPr>
                <w:rFonts w:hint="eastAsia"/>
                <w:color w:val="auto"/>
                <w:lang w:bidi="ar"/>
              </w:rPr>
              <w:t>对象</w:t>
            </w:r>
            <w:r>
              <w:rPr>
                <w:color w:val="auto"/>
                <w:lang w:bidi="ar"/>
              </w:rPr>
              <w:t>为</w:t>
            </w:r>
            <w:bookmarkStart w:id="2" w:name="OLE_LINK37"/>
            <w:r>
              <w:rPr>
                <w:color w:val="auto"/>
                <w:lang w:bidi="ar"/>
              </w:rPr>
              <w:t>观山坪村</w:t>
            </w:r>
            <w:bookmarkEnd w:id="2"/>
            <w:r>
              <w:rPr>
                <w:rFonts w:hint="eastAsia"/>
                <w:color w:val="auto"/>
                <w:lang w:bidi="ar"/>
              </w:rPr>
              <w:t>移民安置区2000人，人饮取水量6.08万m</w:t>
            </w:r>
            <w:r>
              <w:rPr>
                <w:rFonts w:hint="eastAsia"/>
                <w:color w:val="auto"/>
                <w:vertAlign w:val="superscript"/>
                <w:lang w:bidi="ar"/>
              </w:rPr>
              <w:t>3</w:t>
            </w:r>
            <w:r>
              <w:rPr>
                <w:rFonts w:hint="eastAsia"/>
                <w:color w:val="auto"/>
                <w:lang w:bidi="ar"/>
              </w:rPr>
              <w:t>。</w:t>
            </w:r>
            <w:r>
              <w:rPr>
                <w:rFonts w:hint="eastAsia"/>
                <w:color w:val="auto"/>
              </w:rPr>
              <w:t>流里河片区，多年平均来水量507.70万m</w:t>
            </w:r>
            <w:r>
              <w:rPr>
                <w:rFonts w:hint="eastAsia"/>
                <w:color w:val="auto"/>
                <w:vertAlign w:val="superscript"/>
              </w:rPr>
              <w:t>3</w:t>
            </w:r>
            <w:r>
              <w:rPr>
                <w:rFonts w:hint="eastAsia"/>
                <w:color w:val="auto"/>
              </w:rPr>
              <w:t>，扣除生态流量+库损+库储+其他用水户取水量，可供水量为217.21万m</w:t>
            </w:r>
            <w:r>
              <w:rPr>
                <w:rFonts w:hint="eastAsia"/>
                <w:color w:val="auto"/>
                <w:vertAlign w:val="superscript"/>
              </w:rPr>
              <w:t>3</w:t>
            </w:r>
            <w:r>
              <w:rPr>
                <w:rFonts w:hint="eastAsia"/>
                <w:color w:val="auto"/>
              </w:rPr>
              <w:t>。本次设计多年平均灌区取水量152.68万m</w:t>
            </w:r>
            <w:r>
              <w:rPr>
                <w:rFonts w:hint="eastAsia"/>
                <w:color w:val="auto"/>
                <w:vertAlign w:val="superscript"/>
              </w:rPr>
              <w:t>3</w:t>
            </w:r>
            <w:r>
              <w:rPr>
                <w:rFonts w:hint="eastAsia"/>
                <w:color w:val="auto"/>
              </w:rPr>
              <w:t>，观山坪取水工程取水6.08万m</w:t>
            </w:r>
            <w:r>
              <w:rPr>
                <w:rFonts w:hint="eastAsia"/>
                <w:color w:val="auto"/>
                <w:vertAlign w:val="superscript"/>
              </w:rPr>
              <w:t>3</w:t>
            </w:r>
            <w:r>
              <w:rPr>
                <w:rFonts w:hint="eastAsia"/>
                <w:color w:val="auto"/>
              </w:rPr>
              <w:t>，共计158.76万m</w:t>
            </w:r>
            <w:r>
              <w:rPr>
                <w:rFonts w:hint="eastAsia"/>
                <w:color w:val="auto"/>
                <w:vertAlign w:val="superscript"/>
              </w:rPr>
              <w:t>3</w:t>
            </w:r>
            <w:r>
              <w:rPr>
                <w:rFonts w:hint="eastAsia"/>
                <w:color w:val="auto"/>
              </w:rPr>
              <w:t>。因此本次工程设计引水后，流里河灌区余水58.45万m</w:t>
            </w:r>
            <w:r>
              <w:rPr>
                <w:rFonts w:hint="eastAsia"/>
                <w:color w:val="auto"/>
                <w:vertAlign w:val="superscript"/>
              </w:rPr>
              <w:t>3</w:t>
            </w:r>
            <w:r>
              <w:rPr>
                <w:rFonts w:hint="eastAsia"/>
                <w:color w:val="auto"/>
              </w:rPr>
              <w:t>。P=75%情况下，流里河片区，来水量604.14万m</w:t>
            </w:r>
            <w:r>
              <w:rPr>
                <w:rFonts w:hint="eastAsia"/>
                <w:color w:val="auto"/>
                <w:vertAlign w:val="superscript"/>
              </w:rPr>
              <w:t>3</w:t>
            </w:r>
            <w:r>
              <w:rPr>
                <w:rFonts w:hint="eastAsia"/>
                <w:color w:val="auto"/>
              </w:rPr>
              <w:t>，扣除生态流量+库损+库储+其他用水户取水量，可供水量为301.49万m</w:t>
            </w:r>
            <w:r>
              <w:rPr>
                <w:rFonts w:hint="eastAsia"/>
                <w:color w:val="auto"/>
                <w:vertAlign w:val="superscript"/>
              </w:rPr>
              <w:t>3</w:t>
            </w:r>
            <w:r>
              <w:rPr>
                <w:rFonts w:hint="eastAsia"/>
                <w:color w:val="auto"/>
              </w:rPr>
              <w:t>。本次设计灌区取水量166.31万m</w:t>
            </w:r>
            <w:r>
              <w:rPr>
                <w:rFonts w:hint="eastAsia"/>
                <w:color w:val="auto"/>
                <w:vertAlign w:val="superscript"/>
              </w:rPr>
              <w:t>3</w:t>
            </w:r>
            <w:r>
              <w:rPr>
                <w:rFonts w:hint="eastAsia"/>
                <w:color w:val="auto"/>
              </w:rPr>
              <w:t>（P=75%），观山坪取水工程取水6.08万m</w:t>
            </w:r>
            <w:r>
              <w:rPr>
                <w:rFonts w:hint="eastAsia"/>
                <w:color w:val="auto"/>
                <w:vertAlign w:val="superscript"/>
              </w:rPr>
              <w:t>3</w:t>
            </w:r>
            <w:r>
              <w:rPr>
                <w:rFonts w:hint="eastAsia"/>
                <w:color w:val="auto"/>
              </w:rPr>
              <w:t>，共计172.39万m</w:t>
            </w:r>
            <w:r>
              <w:rPr>
                <w:rFonts w:hint="eastAsia"/>
                <w:color w:val="auto"/>
                <w:vertAlign w:val="superscript"/>
              </w:rPr>
              <w:t>3</w:t>
            </w:r>
            <w:r>
              <w:rPr>
                <w:rFonts w:hint="eastAsia"/>
                <w:color w:val="auto"/>
              </w:rPr>
              <w:t>。因此本次工程设计引水后，流里河灌区余129.10万m</w:t>
            </w:r>
            <w:r>
              <w:rPr>
                <w:rFonts w:hint="eastAsia"/>
                <w:color w:val="auto"/>
                <w:vertAlign w:val="superscript"/>
              </w:rPr>
              <w:t>3</w:t>
            </w:r>
            <w:r>
              <w:rPr>
                <w:rFonts w:hint="eastAsia"/>
                <w:color w:val="auto"/>
              </w:rPr>
              <w:t>。综上，供水破坏年2年，供水保证率95.56%；灌溉破坏年10年，灌溉保证率77.78%。水量均满足要求。</w:t>
            </w:r>
          </w:p>
          <w:p w14:paraId="7080015E">
            <w:pPr>
              <w:ind w:firstLine="480"/>
              <w:rPr>
                <w:color w:val="auto"/>
              </w:rPr>
            </w:pPr>
            <w:r>
              <w:rPr>
                <w:rFonts w:hint="eastAsia"/>
                <w:color w:val="auto"/>
              </w:rPr>
              <w:t>经水库调节后，澌溪沟片区，多年平均来水量102.35万m</w:t>
            </w:r>
            <w:r>
              <w:rPr>
                <w:rFonts w:hint="eastAsia"/>
                <w:color w:val="auto"/>
                <w:vertAlign w:val="superscript"/>
              </w:rPr>
              <w:t>3</w:t>
            </w:r>
            <w:r>
              <w:rPr>
                <w:rFonts w:hint="eastAsia"/>
                <w:color w:val="auto"/>
              </w:rPr>
              <w:t>，考虑灌区小型水利来水量，共计226.14万m</w:t>
            </w:r>
            <w:r>
              <w:rPr>
                <w:rFonts w:hint="eastAsia"/>
                <w:color w:val="auto"/>
                <w:vertAlign w:val="superscript"/>
              </w:rPr>
              <w:t>3</w:t>
            </w:r>
            <w:r>
              <w:rPr>
                <w:rFonts w:hint="eastAsia"/>
                <w:color w:val="auto"/>
              </w:rPr>
              <w:t>。扣除生态流量+库损+库储+其他用水户取水量，可供水量为135.71万m</w:t>
            </w:r>
            <w:r>
              <w:rPr>
                <w:rFonts w:hint="eastAsia"/>
                <w:color w:val="auto"/>
                <w:vertAlign w:val="superscript"/>
              </w:rPr>
              <w:t>3</w:t>
            </w:r>
            <w:r>
              <w:rPr>
                <w:rFonts w:hint="eastAsia"/>
                <w:color w:val="auto"/>
              </w:rPr>
              <w:t>，P=75%可供水量为191万m</w:t>
            </w:r>
            <w:r>
              <w:rPr>
                <w:rFonts w:hint="eastAsia"/>
                <w:color w:val="auto"/>
                <w:vertAlign w:val="superscript"/>
              </w:rPr>
              <w:t>3</w:t>
            </w:r>
            <w:r>
              <w:rPr>
                <w:rFonts w:hint="eastAsia"/>
                <w:color w:val="auto"/>
              </w:rPr>
              <w:t>。本次设计多年平均取水量84.13万m</w:t>
            </w:r>
            <w:r>
              <w:rPr>
                <w:rFonts w:hint="eastAsia"/>
                <w:color w:val="auto"/>
                <w:vertAlign w:val="superscript"/>
              </w:rPr>
              <w:t>3</w:t>
            </w:r>
            <w:r>
              <w:rPr>
                <w:rFonts w:hint="eastAsia"/>
                <w:color w:val="auto"/>
              </w:rPr>
              <w:t>，p=75%取水量91.61万m</w:t>
            </w:r>
            <w:r>
              <w:rPr>
                <w:rFonts w:hint="eastAsia"/>
                <w:color w:val="auto"/>
                <w:vertAlign w:val="superscript"/>
              </w:rPr>
              <w:t>3</w:t>
            </w:r>
            <w:r>
              <w:rPr>
                <w:rFonts w:hint="eastAsia"/>
                <w:color w:val="auto"/>
              </w:rPr>
              <w:t>。因此本次工程设计引水后，澌溪沟灌区余水99.39万m</w:t>
            </w:r>
            <w:r>
              <w:rPr>
                <w:rFonts w:hint="eastAsia"/>
                <w:color w:val="auto"/>
                <w:vertAlign w:val="superscript"/>
              </w:rPr>
              <w:t>3</w:t>
            </w:r>
            <w:r>
              <w:rPr>
                <w:rFonts w:hint="eastAsia"/>
                <w:color w:val="auto"/>
              </w:rPr>
              <w:t>（P=75%）。水量满足要求。灌溉保证率93.3%，满足灌溉保证率不低于75%的要求。</w:t>
            </w:r>
          </w:p>
          <w:p w14:paraId="79C173CC">
            <w:pPr>
              <w:ind w:firstLine="480"/>
              <w:rPr>
                <w:color w:val="auto"/>
              </w:rPr>
            </w:pPr>
            <w:r>
              <w:rPr>
                <w:rFonts w:hint="eastAsia"/>
                <w:color w:val="auto"/>
              </w:rPr>
              <w:t>本工程流里河水库供水人口2000人，用水定额采用100L/（人.d），供水规模为250</w:t>
            </w:r>
            <w:bookmarkStart w:id="3" w:name="OLE_LINK288"/>
            <w:r>
              <w:rPr>
                <w:rFonts w:hint="eastAsia"/>
                <w:color w:val="auto"/>
              </w:rPr>
              <w:t>m</w:t>
            </w:r>
            <w:r>
              <w:rPr>
                <w:rFonts w:hint="eastAsia"/>
                <w:color w:val="auto"/>
                <w:vertAlign w:val="superscript"/>
              </w:rPr>
              <w:t>3</w:t>
            </w:r>
            <w:r>
              <w:rPr>
                <w:rFonts w:hint="eastAsia"/>
                <w:color w:val="auto"/>
              </w:rPr>
              <w:t>/d，</w:t>
            </w:r>
            <w:bookmarkEnd w:id="3"/>
            <w:r>
              <w:rPr>
                <w:rFonts w:hint="eastAsia"/>
                <w:color w:val="auto"/>
              </w:rPr>
              <w:t>年供水量6.08万m</w:t>
            </w:r>
            <w:r>
              <w:rPr>
                <w:rFonts w:hint="eastAsia"/>
                <w:color w:val="auto"/>
                <w:vertAlign w:val="superscript"/>
              </w:rPr>
              <w:t>3</w:t>
            </w:r>
            <w:r>
              <w:rPr>
                <w:rFonts w:hint="eastAsia"/>
                <w:color w:val="auto"/>
              </w:rPr>
              <w:t>，灌溉面积7270亩，灌溉需水量152.68万m</w:t>
            </w:r>
            <w:r>
              <w:rPr>
                <w:rFonts w:hint="eastAsia"/>
                <w:color w:val="auto"/>
                <w:vertAlign w:val="superscript"/>
              </w:rPr>
              <w:t>3</w:t>
            </w:r>
            <w:r>
              <w:rPr>
                <w:rFonts w:hint="eastAsia"/>
                <w:color w:val="auto"/>
              </w:rPr>
              <w:t>，灌溉取水流量</w:t>
            </w:r>
            <w:r>
              <w:rPr>
                <w:color w:val="auto"/>
              </w:rPr>
              <w:t>0.2636</w:t>
            </w:r>
            <w:r>
              <w:rPr>
                <w:rFonts w:hint="eastAsia"/>
                <w:color w:val="auto"/>
              </w:rPr>
              <w:t xml:space="preserve"> m</w:t>
            </w:r>
            <w:r>
              <w:rPr>
                <w:rFonts w:hint="eastAsia"/>
                <w:color w:val="auto"/>
                <w:vertAlign w:val="superscript"/>
              </w:rPr>
              <w:t>3</w:t>
            </w:r>
            <w:r>
              <w:rPr>
                <w:rFonts w:hint="eastAsia"/>
                <w:color w:val="auto"/>
              </w:rPr>
              <w:t>/s，人饮取水量流量0.0080m</w:t>
            </w:r>
            <w:r>
              <w:rPr>
                <w:rFonts w:hint="eastAsia"/>
                <w:color w:val="auto"/>
                <w:vertAlign w:val="superscript"/>
              </w:rPr>
              <w:t>3</w:t>
            </w:r>
            <w:r>
              <w:rPr>
                <w:rFonts w:hint="eastAsia"/>
                <w:color w:val="auto"/>
              </w:rPr>
              <w:t>/s。流里河水库泵站和输水管道头部取水流量</w:t>
            </w:r>
            <w:r>
              <w:rPr>
                <w:color w:val="auto"/>
              </w:rPr>
              <w:t>0.2716</w:t>
            </w:r>
            <w:r>
              <w:rPr>
                <w:rFonts w:hint="eastAsia"/>
                <w:color w:val="auto"/>
              </w:rPr>
              <w:t xml:space="preserve"> m</w:t>
            </w:r>
            <w:r>
              <w:rPr>
                <w:rFonts w:hint="eastAsia"/>
                <w:color w:val="auto"/>
                <w:vertAlign w:val="superscript"/>
              </w:rPr>
              <w:t>3</w:t>
            </w:r>
            <w:r>
              <w:rPr>
                <w:rFonts w:hint="eastAsia"/>
                <w:color w:val="auto"/>
              </w:rPr>
              <w:t>/s，满足本工程灌溉及人饮取水要求。</w:t>
            </w:r>
          </w:p>
          <w:p w14:paraId="0D8454AB">
            <w:pPr>
              <w:ind w:firstLine="480"/>
              <w:rPr>
                <w:color w:val="auto"/>
              </w:rPr>
            </w:pPr>
            <w:r>
              <w:rPr>
                <w:rFonts w:hint="eastAsia"/>
                <w:color w:val="auto"/>
              </w:rPr>
              <w:t>王家河水库多年平均来水量324.61m</w:t>
            </w:r>
            <w:r>
              <w:rPr>
                <w:rFonts w:hint="eastAsia"/>
                <w:color w:val="auto"/>
                <w:vertAlign w:val="superscript"/>
              </w:rPr>
              <w:t>3</w:t>
            </w:r>
            <w:r>
              <w:rPr>
                <w:rFonts w:hint="eastAsia"/>
                <w:color w:val="auto"/>
              </w:rPr>
              <w:t>，本工程王家河水库供水人口</w:t>
            </w:r>
            <w:r>
              <w:rPr>
                <w:color w:val="auto"/>
              </w:rPr>
              <w:t>16393</w:t>
            </w:r>
            <w:r>
              <w:rPr>
                <w:rFonts w:hint="eastAsia"/>
                <w:color w:val="auto"/>
              </w:rPr>
              <w:t>人，用水定额采用100L/（人.d），供水规模为2500m</w:t>
            </w:r>
            <w:r>
              <w:rPr>
                <w:rFonts w:hint="eastAsia"/>
                <w:color w:val="auto"/>
                <w:vertAlign w:val="superscript"/>
              </w:rPr>
              <w:t>3</w:t>
            </w:r>
            <w:r>
              <w:rPr>
                <w:rFonts w:hint="eastAsia"/>
                <w:color w:val="auto"/>
              </w:rPr>
              <w:t>/d，年供水量60.83万m</w:t>
            </w:r>
            <w:r>
              <w:rPr>
                <w:rFonts w:hint="eastAsia"/>
                <w:color w:val="auto"/>
                <w:vertAlign w:val="superscript"/>
              </w:rPr>
              <w:t>3</w:t>
            </w:r>
            <w:r>
              <w:rPr>
                <w:rFonts w:hint="eastAsia"/>
                <w:color w:val="auto"/>
              </w:rPr>
              <w:t>。流里河水库泵站</w:t>
            </w:r>
            <w:bookmarkStart w:id="4" w:name="OLE_LINK289"/>
            <w:r>
              <w:rPr>
                <w:rFonts w:hint="eastAsia"/>
                <w:color w:val="auto"/>
              </w:rPr>
              <w:t>和输水管道头部</w:t>
            </w:r>
            <w:bookmarkEnd w:id="4"/>
            <w:r>
              <w:rPr>
                <w:rFonts w:hint="eastAsia"/>
                <w:color w:val="auto"/>
              </w:rPr>
              <w:t>取水流量</w:t>
            </w:r>
            <w:r>
              <w:rPr>
                <w:color w:val="auto"/>
              </w:rPr>
              <w:t>0.0643</w:t>
            </w:r>
            <w:r>
              <w:rPr>
                <w:rFonts w:hint="eastAsia"/>
                <w:color w:val="auto"/>
              </w:rPr>
              <w:t>m</w:t>
            </w:r>
            <w:r>
              <w:rPr>
                <w:rFonts w:hint="eastAsia"/>
                <w:color w:val="auto"/>
                <w:vertAlign w:val="superscript"/>
              </w:rPr>
              <w:t>3</w:t>
            </w:r>
            <w:r>
              <w:rPr>
                <w:rFonts w:hint="eastAsia"/>
                <w:color w:val="auto"/>
              </w:rPr>
              <w:t>/s，满足本工程人饮取水要求。</w:t>
            </w:r>
          </w:p>
          <w:p w14:paraId="28B0EBD4">
            <w:pPr>
              <w:ind w:firstLine="480"/>
              <w:rPr>
                <w:b/>
                <w:bCs/>
                <w:color w:val="auto"/>
                <w:kern w:val="0"/>
              </w:rPr>
            </w:pPr>
            <w:r>
              <w:rPr>
                <w:rFonts w:hint="eastAsia"/>
                <w:color w:val="auto"/>
              </w:rPr>
              <w:t>项目实施后，项目区移民及当地群众饮用水、灌溉水的水质、水量、用水保证率将明显改善。</w:t>
            </w:r>
          </w:p>
          <w:p w14:paraId="2653F756">
            <w:pPr>
              <w:ind w:firstLine="480"/>
              <w:rPr>
                <w:color w:val="auto"/>
                <w:kern w:val="0"/>
              </w:rPr>
            </w:pPr>
            <w:r>
              <w:rPr>
                <w:rFonts w:hint="eastAsia"/>
                <w:color w:val="auto"/>
                <w:kern w:val="0"/>
              </w:rPr>
              <w:t>因此，本项目符合</w:t>
            </w:r>
            <w:r>
              <w:rPr>
                <w:color w:val="auto"/>
                <w:kern w:val="0"/>
              </w:rPr>
              <w:t>《</w:t>
            </w:r>
            <w:r>
              <w:rPr>
                <w:rFonts w:hint="eastAsia"/>
                <w:color w:val="auto"/>
                <w:kern w:val="0"/>
              </w:rPr>
              <w:t>通江县水资源</w:t>
            </w:r>
            <w:r>
              <w:rPr>
                <w:color w:val="auto"/>
                <w:kern w:val="0"/>
              </w:rPr>
              <w:t>综合规划》</w:t>
            </w:r>
            <w:r>
              <w:rPr>
                <w:rFonts w:hint="eastAsia"/>
                <w:color w:val="auto"/>
                <w:kern w:val="0"/>
              </w:rPr>
              <w:t>。</w:t>
            </w:r>
          </w:p>
          <w:p w14:paraId="7E44777A">
            <w:pPr>
              <w:ind w:firstLine="482"/>
              <w:rPr>
                <w:b/>
                <w:color w:val="auto"/>
              </w:rPr>
            </w:pPr>
            <w:r>
              <w:rPr>
                <w:rFonts w:hint="eastAsia"/>
                <w:b/>
                <w:color w:val="auto"/>
              </w:rPr>
              <w:t>3</w:t>
            </w:r>
            <w:r>
              <w:rPr>
                <w:b/>
                <w:color w:val="auto"/>
              </w:rPr>
              <w:t>、与高标准农田建设规划相符性分析</w:t>
            </w:r>
          </w:p>
          <w:p w14:paraId="26463A22">
            <w:pPr>
              <w:ind w:firstLine="480"/>
              <w:rPr>
                <w:color w:val="auto"/>
              </w:rPr>
            </w:pPr>
            <w:r>
              <w:rPr>
                <w:color w:val="auto"/>
              </w:rPr>
              <w:t>巴中市出台了《巴中市高标准农田建设规划（2021—2030年）》，旨在通过科学布局和系统建设，提升农田质量，保障粮食安全。规划明确到2030年，全市将新建高标准农田122.23万亩，改造提升高标准农田94.66万亩，新建高效节水灌溉面积12.96万亩。其中通江县至2030年新建高标准农田23.36万亩，改造提升高标准农田21.98万亩，新建高效节水灌溉面积1.89万亩。</w:t>
            </w:r>
          </w:p>
          <w:p w14:paraId="6F30E3AB">
            <w:pPr>
              <w:ind w:firstLine="480"/>
              <w:rPr>
                <w:color w:val="auto"/>
              </w:rPr>
            </w:pPr>
            <w:r>
              <w:rPr>
                <w:color w:val="auto"/>
              </w:rPr>
              <w:t>通江县铁佛镇移民安置区饮水管网及灌溉水利设施建设工程改善流里河水库片区和澌溪沟水库片区总灌溉面积1.13万亩，建成后灌溉水利用系数达到0.855，属高标准农田，故本工程的实施与四川省和巴中市高标准农田建设规划是相符的。</w:t>
            </w:r>
          </w:p>
          <w:p w14:paraId="419B159A">
            <w:pPr>
              <w:ind w:firstLine="482"/>
              <w:rPr>
                <w:b/>
                <w:color w:val="auto"/>
              </w:rPr>
            </w:pPr>
            <w:r>
              <w:rPr>
                <w:rFonts w:hint="eastAsia"/>
                <w:b/>
                <w:color w:val="auto"/>
              </w:rPr>
              <w:t>4</w:t>
            </w:r>
            <w:r>
              <w:rPr>
                <w:b/>
                <w:color w:val="auto"/>
              </w:rPr>
              <w:t>、</w:t>
            </w:r>
            <w:r>
              <w:rPr>
                <w:rFonts w:hint="eastAsia"/>
                <w:b/>
                <w:color w:val="auto"/>
              </w:rPr>
              <w:t>与</w:t>
            </w:r>
            <w:bookmarkStart w:id="5" w:name="OLE_LINK51"/>
            <w:r>
              <w:rPr>
                <w:rFonts w:hint="eastAsia"/>
                <w:b/>
                <w:color w:val="auto"/>
              </w:rPr>
              <w:t>《通江县“十四五”水安全保障规划（2021—2025年）》</w:t>
            </w:r>
            <w:bookmarkEnd w:id="5"/>
            <w:r>
              <w:rPr>
                <w:b/>
                <w:color w:val="auto"/>
              </w:rPr>
              <w:t>相符性分析</w:t>
            </w:r>
          </w:p>
          <w:p w14:paraId="75987FCC">
            <w:pPr>
              <w:ind w:firstLine="480"/>
              <w:rPr>
                <w:color w:val="auto"/>
              </w:rPr>
            </w:pPr>
            <w:r>
              <w:rPr>
                <w:rFonts w:hint="eastAsia"/>
                <w:color w:val="auto"/>
              </w:rPr>
              <w:t>根据《通江县“十四五”水安全保障规划（2021—2025年）》，建成一批生态水利工程，城乡供水保障和抗旱应急能力明显增强，规模化供水覆盖程度明显提高，新增和恢复蓄引提水能力0.25亿立方米，新增年供水能力0.2亿立方米，按照“十四五”农村供水保障现行标准（供水20人至100人的小型供水工程降等为分散供水工程，不纳入集中供水率和自来水普及率统计），农村自来水普及率达到88%以上，规模化供水率达到55%以上。</w:t>
            </w:r>
          </w:p>
          <w:p w14:paraId="766BA08E">
            <w:pPr>
              <w:ind w:firstLine="480"/>
              <w:rPr>
                <w:color w:val="auto"/>
              </w:rPr>
            </w:pPr>
            <w:r>
              <w:rPr>
                <w:rFonts w:hint="eastAsia"/>
                <w:color w:val="auto"/>
              </w:rPr>
              <w:t>加强防洪控制性水库工程建设，完成防汛薄弱环节建设，重点城镇、重要河段基本达到国家规定的防洪排涝标准，基本消除现有病险水库安全隐患，防汛抗旱能力全面提高，水旱灾害风险防范化解能力进一步增强。</w:t>
            </w:r>
          </w:p>
          <w:p w14:paraId="19FB53B6">
            <w:pPr>
              <w:ind w:firstLine="480"/>
              <w:rPr>
                <w:b/>
                <w:color w:val="auto"/>
              </w:rPr>
            </w:pPr>
            <w:r>
              <w:rPr>
                <w:rFonts w:hint="eastAsia"/>
                <w:color w:val="auto"/>
              </w:rPr>
              <w:t>通江县铁佛镇移民安置区饮水管网及灌溉水利设施建设工程建成后，可保障铁佛镇和麻石镇共1.84万人生活用水，可提高农村自来水普及率和规模化供水率，与《通江县“十四五”水安全保障规划（2021—2025年）》相符合。</w:t>
            </w:r>
          </w:p>
          <w:p w14:paraId="59C724CA">
            <w:pPr>
              <w:ind w:firstLine="482"/>
              <w:rPr>
                <w:b/>
                <w:color w:val="auto"/>
              </w:rPr>
            </w:pPr>
            <w:r>
              <w:rPr>
                <w:rFonts w:hint="eastAsia"/>
                <w:b/>
                <w:color w:val="auto"/>
              </w:rPr>
              <w:t>5</w:t>
            </w:r>
            <w:r>
              <w:rPr>
                <w:b/>
                <w:color w:val="auto"/>
              </w:rPr>
              <w:t>、与</w:t>
            </w:r>
            <w:bookmarkStart w:id="6" w:name="OLE_LINK53"/>
            <w:r>
              <w:rPr>
                <w:b/>
                <w:color w:val="auto"/>
              </w:rPr>
              <w:t>《</w:t>
            </w:r>
            <w:bookmarkStart w:id="7" w:name="OLE_LINK77"/>
            <w:bookmarkStart w:id="8" w:name="OLE_LINK78"/>
            <w:r>
              <w:rPr>
                <w:b/>
                <w:color w:val="auto"/>
              </w:rPr>
              <w:t>通江县</w:t>
            </w:r>
            <w:bookmarkEnd w:id="7"/>
            <w:r>
              <w:rPr>
                <w:b/>
                <w:color w:val="auto"/>
              </w:rPr>
              <w:t>国土空间规划（2021—2035年）</w:t>
            </w:r>
            <w:bookmarkEnd w:id="8"/>
            <w:r>
              <w:rPr>
                <w:b/>
                <w:color w:val="auto"/>
              </w:rPr>
              <w:t>》</w:t>
            </w:r>
            <w:bookmarkEnd w:id="6"/>
            <w:r>
              <w:rPr>
                <w:b/>
                <w:color w:val="auto"/>
              </w:rPr>
              <w:t>相符性分析</w:t>
            </w:r>
          </w:p>
          <w:p w14:paraId="47DB31A6">
            <w:pPr>
              <w:ind w:firstLine="480"/>
              <w:rPr>
                <w:color w:val="auto"/>
              </w:rPr>
            </w:pPr>
            <w:r>
              <w:rPr>
                <w:color w:val="auto"/>
              </w:rPr>
              <w:t>根据《通江县国土空间总体规划（2021—2035年）》，规划期间，按照农业现代化建设要求，调整农业产业结构和补充农业设施用地需求，流出耕地936.91公顷。落实耕地进出平衡，按照“以进定出、先进后出、进大于出、优进劣出”的原则，通过耕地恢复补充进出平衡耕地936.91公顷。规划近期安排在壁州街道、唱歌镇、春在镇、广纳镇、火炬镇、民胜镇、诺江镇、</w:t>
            </w:r>
            <w:r>
              <w:rPr>
                <w:b/>
                <w:bCs/>
                <w:color w:val="auto"/>
              </w:rPr>
              <w:t>铁佛镇</w:t>
            </w:r>
            <w:r>
              <w:rPr>
                <w:color w:val="auto"/>
              </w:rPr>
              <w:t>、杨柏镇、麻石镇、三溪镇等乡镇进行耕地后备资源开发，恢复规模478.94公顷。规划远期安排在陈河镇、空山镇、两河口镇、泥溪镇、胜利乡、新场镇、兴隆镇、长坪镇、板桥口镇、涪阳镇、洪口镇、龙凤场镇、毛浴镇、诺水河镇、青峪镇、沙溪镇、铁溪镇、瓦室镇、烟溪镇、永安镇、至诚镇、松溪乡等乡镇进行耕地后备资源开发，恢复规模457.97公顷。在永久基本农田区域大力推进高标准农田建设，实行田、土、水、路、林、电、技、管等综合配套，建成标准更高、配套更优、产业更强的高标准农田，推动农业绿色发展、转型升级。规划到2035年，将已划入的永久基本农田全部建设为高标准农田。</w:t>
            </w:r>
          </w:p>
          <w:p w14:paraId="3F0C8618">
            <w:pPr>
              <w:ind w:firstLine="480"/>
              <w:rPr>
                <w:color w:val="auto"/>
              </w:rPr>
            </w:pPr>
            <w:r>
              <w:rPr>
                <w:color w:val="auto"/>
              </w:rPr>
              <w:t>通江县铁佛镇移民安置区饮水管网及灌溉水利设施建设工程恢复灌溉面积1.13万亩，</w:t>
            </w:r>
            <w:r>
              <w:rPr>
                <w:rFonts w:hint="eastAsia"/>
                <w:color w:val="auto"/>
              </w:rPr>
              <w:t>所在</w:t>
            </w:r>
            <w:r>
              <w:rPr>
                <w:color w:val="auto"/>
              </w:rPr>
              <w:t>铁佛镇</w:t>
            </w:r>
            <w:r>
              <w:rPr>
                <w:rFonts w:hint="eastAsia"/>
                <w:color w:val="auto"/>
              </w:rPr>
              <w:t>属于</w:t>
            </w:r>
            <w:r>
              <w:rPr>
                <w:color w:val="auto"/>
              </w:rPr>
              <w:t>通江县国土空间总体规划（2021—2035年）</w:t>
            </w:r>
            <w:r>
              <w:rPr>
                <w:rFonts w:hint="eastAsia"/>
                <w:color w:val="auto"/>
              </w:rPr>
              <w:t>近期</w:t>
            </w:r>
            <w:r>
              <w:rPr>
                <w:color w:val="auto"/>
              </w:rPr>
              <w:t>安排耕地后备资源开发</w:t>
            </w:r>
            <w:r>
              <w:rPr>
                <w:rFonts w:hint="eastAsia"/>
                <w:color w:val="auto"/>
              </w:rPr>
              <w:t>的乡镇，</w:t>
            </w:r>
            <w:r>
              <w:rPr>
                <w:color w:val="auto"/>
              </w:rPr>
              <w:t>与《通江县国土空间规划（2021—2035年）》是相符的。</w:t>
            </w:r>
          </w:p>
        </w:tc>
      </w:tr>
      <w:tr w14:paraId="66CC5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133" w:type="dxa"/>
            <w:tcMar>
              <w:top w:w="16" w:type="dxa"/>
              <w:left w:w="16" w:type="dxa"/>
              <w:right w:w="16" w:type="dxa"/>
            </w:tcMar>
            <w:vAlign w:val="center"/>
          </w:tcPr>
          <w:p w14:paraId="1C322F75">
            <w:pPr>
              <w:adjustRightInd w:val="0"/>
              <w:snapToGrid w:val="0"/>
              <w:ind w:firstLine="0" w:firstLineChars="0"/>
              <w:jc w:val="center"/>
              <w:rPr>
                <w:color w:val="auto"/>
                <w:kern w:val="0"/>
              </w:rPr>
            </w:pPr>
            <w:bookmarkStart w:id="9" w:name="_Hlk56690880"/>
            <w:r>
              <w:rPr>
                <w:color w:val="auto"/>
                <w:kern w:val="0"/>
              </w:rPr>
              <w:t>其他符合性分析</w:t>
            </w:r>
            <w:bookmarkEnd w:id="9"/>
          </w:p>
        </w:tc>
        <w:tc>
          <w:tcPr>
            <w:tcW w:w="8611" w:type="dxa"/>
            <w:gridSpan w:val="4"/>
            <w:tcMar>
              <w:top w:w="16" w:type="dxa"/>
              <w:left w:w="16" w:type="dxa"/>
              <w:right w:w="16" w:type="dxa"/>
            </w:tcMar>
            <w:vAlign w:val="center"/>
          </w:tcPr>
          <w:p w14:paraId="4C53647C">
            <w:pPr>
              <w:ind w:firstLine="482"/>
              <w:rPr>
                <w:b/>
                <w:bCs/>
                <w:color w:val="auto"/>
              </w:rPr>
            </w:pPr>
            <w:r>
              <w:rPr>
                <w:b/>
                <w:bCs/>
                <w:color w:val="auto"/>
              </w:rPr>
              <w:t>1、用地规划符合性</w:t>
            </w:r>
          </w:p>
          <w:p w14:paraId="3642BFBD">
            <w:pPr>
              <w:adjustRightInd w:val="0"/>
              <w:snapToGrid w:val="0"/>
              <w:ind w:firstLine="480"/>
              <w:rPr>
                <w:color w:val="auto"/>
              </w:rPr>
            </w:pPr>
            <w:r>
              <w:rPr>
                <w:rFonts w:hint="eastAsia"/>
                <w:color w:val="auto"/>
              </w:rPr>
              <w:t>本工程建设征地区不涉及专业项目设施，无压覆矿产资源和文物古迹。本工程建设征地范围内实物对象为农村部分，项目不涉及居民建筑拆迁（移民）安置及专项设施改（迁）建。工程总占地9.01hm</w:t>
            </w:r>
            <w:r>
              <w:rPr>
                <w:rFonts w:hint="eastAsia"/>
                <w:color w:val="auto"/>
                <w:vertAlign w:val="superscript"/>
              </w:rPr>
              <w:t>2</w:t>
            </w:r>
            <w:r>
              <w:rPr>
                <w:rFonts w:hint="eastAsia"/>
                <w:color w:val="auto"/>
              </w:rPr>
              <w:t>，其中永久占地0.63hm</w:t>
            </w:r>
            <w:r>
              <w:rPr>
                <w:rFonts w:hint="eastAsia"/>
                <w:color w:val="auto"/>
                <w:vertAlign w:val="superscript"/>
              </w:rPr>
              <w:t>2</w:t>
            </w:r>
            <w:r>
              <w:rPr>
                <w:rFonts w:hint="eastAsia"/>
                <w:color w:val="auto"/>
              </w:rPr>
              <w:t>，临时占地8.38hm</w:t>
            </w:r>
            <w:r>
              <w:rPr>
                <w:rFonts w:hint="eastAsia"/>
                <w:color w:val="auto"/>
                <w:vertAlign w:val="superscript"/>
              </w:rPr>
              <w:t>2</w:t>
            </w:r>
            <w:r>
              <w:rPr>
                <w:rFonts w:hint="eastAsia"/>
                <w:color w:val="auto"/>
              </w:rPr>
              <w:t>。占地类型为耕地、林地、草地、交通运输用地和其他土地。</w:t>
            </w:r>
            <w:r>
              <w:rPr>
                <w:rFonts w:hint="eastAsia"/>
                <w:b/>
                <w:bCs/>
                <w:color w:val="auto"/>
              </w:rPr>
              <w:t>项目相关用地手续在进一步办理中，环评要求待取得相关手续后再行建设本项目。</w:t>
            </w:r>
          </w:p>
          <w:p w14:paraId="39C29592">
            <w:pPr>
              <w:keepNext/>
              <w:keepLines/>
              <w:ind w:firstLine="482"/>
              <w:rPr>
                <w:b/>
                <w:bCs/>
                <w:color w:val="auto"/>
              </w:rPr>
            </w:pPr>
            <w:r>
              <w:rPr>
                <w:b/>
                <w:bCs/>
                <w:color w:val="auto"/>
              </w:rPr>
              <w:t>2、产业政策符合性分析</w:t>
            </w:r>
          </w:p>
          <w:p w14:paraId="78F0C8B1">
            <w:pPr>
              <w:ind w:firstLine="480"/>
              <w:rPr>
                <w:color w:val="auto"/>
              </w:rPr>
            </w:pPr>
            <w:r>
              <w:rPr>
                <w:color w:val="auto"/>
              </w:rPr>
              <w:t>根据《国民经济行业分类》</w:t>
            </w:r>
            <w:r>
              <w:rPr>
                <w:rFonts w:hint="eastAsia"/>
                <w:color w:val="auto"/>
              </w:rPr>
              <w:t>（</w:t>
            </w:r>
            <w:r>
              <w:rPr>
                <w:color w:val="auto"/>
              </w:rPr>
              <w:t>GB/T4754-2017</w:t>
            </w:r>
            <w:r>
              <w:rPr>
                <w:rFonts w:hint="eastAsia"/>
                <w:color w:val="auto"/>
              </w:rPr>
              <w:t>）（</w:t>
            </w:r>
            <w:r>
              <w:rPr>
                <w:color w:val="auto"/>
              </w:rPr>
              <w:t>2019年修改</w:t>
            </w:r>
            <w:r>
              <w:rPr>
                <w:rFonts w:hint="eastAsia"/>
                <w:color w:val="auto"/>
              </w:rPr>
              <w:t>）</w:t>
            </w:r>
            <w:r>
              <w:rPr>
                <w:color w:val="auto"/>
              </w:rPr>
              <w:t>，本项目属于E482</w:t>
            </w:r>
            <w:r>
              <w:rPr>
                <w:rFonts w:hint="eastAsia"/>
                <w:color w:val="auto"/>
              </w:rPr>
              <w:t>1</w:t>
            </w:r>
            <w:r>
              <w:rPr>
                <w:color w:val="auto"/>
              </w:rPr>
              <w:t>水源及供水设施工程建筑。根据《产业结构调整指导目录</w:t>
            </w:r>
            <w:r>
              <w:rPr>
                <w:rFonts w:hint="eastAsia"/>
                <w:color w:val="auto"/>
              </w:rPr>
              <w:t>（</w:t>
            </w:r>
            <w:r>
              <w:rPr>
                <w:color w:val="auto"/>
              </w:rPr>
              <w:t>2024年版</w:t>
            </w:r>
            <w:r>
              <w:rPr>
                <w:rFonts w:hint="eastAsia"/>
                <w:color w:val="auto"/>
              </w:rPr>
              <w:t>）</w:t>
            </w:r>
            <w:r>
              <w:rPr>
                <w:color w:val="auto"/>
              </w:rPr>
              <w:t>》，本</w:t>
            </w:r>
            <w:r>
              <w:rPr>
                <w:rFonts w:hint="eastAsia"/>
                <w:color w:val="auto"/>
              </w:rPr>
              <w:t>项目</w:t>
            </w:r>
            <w:r>
              <w:rPr>
                <w:color w:val="auto"/>
              </w:rPr>
              <w:t>属于鼓励类中“二、水利-</w:t>
            </w:r>
            <w:r>
              <w:rPr>
                <w:rFonts w:hint="eastAsia"/>
                <w:color w:val="auto"/>
              </w:rPr>
              <w:t>2</w:t>
            </w:r>
            <w:r>
              <w:rPr>
                <w:color w:val="auto"/>
              </w:rPr>
              <w:t>.节水供水工程</w:t>
            </w:r>
            <w:r>
              <w:rPr>
                <w:rFonts w:hint="eastAsia"/>
                <w:color w:val="auto"/>
              </w:rPr>
              <w:t>：</w:t>
            </w:r>
            <w:r>
              <w:rPr>
                <w:color w:val="auto"/>
              </w:rPr>
              <w:t>农村供水工程，灌区及配套设施建设、改造”</w:t>
            </w:r>
            <w:r>
              <w:rPr>
                <w:rFonts w:hint="eastAsia"/>
                <w:color w:val="auto"/>
              </w:rPr>
              <w:t>。</w:t>
            </w:r>
          </w:p>
          <w:p w14:paraId="48503984">
            <w:pPr>
              <w:ind w:firstLine="480"/>
              <w:rPr>
                <w:color w:val="auto"/>
                <w:szCs w:val="21"/>
              </w:rPr>
            </w:pPr>
            <w:r>
              <w:rPr>
                <w:color w:val="auto"/>
              </w:rPr>
              <w:t>本项目己于202</w:t>
            </w:r>
            <w:r>
              <w:rPr>
                <w:rFonts w:hint="eastAsia"/>
                <w:color w:val="auto"/>
              </w:rPr>
              <w:t>4</w:t>
            </w:r>
            <w:r>
              <w:rPr>
                <w:color w:val="auto"/>
              </w:rPr>
              <w:t>年12月</w:t>
            </w:r>
            <w:r>
              <w:rPr>
                <w:rFonts w:hint="eastAsia"/>
                <w:color w:val="auto"/>
              </w:rPr>
              <w:t>3</w:t>
            </w:r>
            <w:r>
              <w:rPr>
                <w:color w:val="auto"/>
              </w:rPr>
              <w:t>日</w:t>
            </w:r>
            <w:r>
              <w:rPr>
                <w:rFonts w:hint="eastAsia"/>
                <w:color w:val="auto"/>
              </w:rPr>
              <w:t>取得</w:t>
            </w:r>
            <w:r>
              <w:rPr>
                <w:color w:val="auto"/>
              </w:rPr>
              <w:t>通江县发展和改革局</w:t>
            </w:r>
            <w:r>
              <w:rPr>
                <w:rFonts w:hint="eastAsia"/>
                <w:color w:val="auto"/>
              </w:rPr>
              <w:t>《关于通江县铁佛镇移民安置区饮水管网及灌溉水利设施建设工程可行性研究报告的批复》（通发改〔2024</w:t>
            </w:r>
            <w:r>
              <w:rPr>
                <w:color w:val="auto"/>
              </w:rPr>
              <w:t>〕</w:t>
            </w:r>
            <w:r>
              <w:rPr>
                <w:rFonts w:hint="eastAsia"/>
                <w:color w:val="auto"/>
              </w:rPr>
              <w:t>450号）</w:t>
            </w:r>
            <w:r>
              <w:rPr>
                <w:color w:val="auto"/>
              </w:rPr>
              <w:t>，</w:t>
            </w:r>
            <w:r>
              <w:rPr>
                <w:rFonts w:hint="eastAsia"/>
                <w:color w:val="auto"/>
              </w:rPr>
              <w:t>项目代码：</w:t>
            </w:r>
            <w:r>
              <w:rPr>
                <w:color w:val="auto"/>
              </w:rPr>
              <w:t>2411-511921-04-01-293625</w:t>
            </w:r>
            <w:r>
              <w:rPr>
                <w:rFonts w:hint="eastAsia"/>
                <w:color w:val="auto"/>
              </w:rPr>
              <w:t>；</w:t>
            </w:r>
            <w:r>
              <w:rPr>
                <w:color w:val="auto"/>
              </w:rPr>
              <w:t>同时，本项目己取得巴中市水利局</w:t>
            </w:r>
            <w:r>
              <w:rPr>
                <w:rFonts w:hint="eastAsia"/>
                <w:color w:val="auto"/>
              </w:rPr>
              <w:t>《</w:t>
            </w:r>
            <w:r>
              <w:rPr>
                <w:color w:val="auto"/>
              </w:rPr>
              <w:t>关于2025年度中央大中型水库库区和移民安置区后期扶持重点项目</w:t>
            </w:r>
            <w:r>
              <w:rPr>
                <w:rFonts w:hint="eastAsia"/>
                <w:color w:val="auto"/>
              </w:rPr>
              <w:t>（</w:t>
            </w:r>
            <w:r>
              <w:rPr>
                <w:color w:val="auto"/>
              </w:rPr>
              <w:t>通江县铁佛镇移民安置区饮水管网及灌溉水利设施建设工程</w:t>
            </w:r>
            <w:r>
              <w:rPr>
                <w:rFonts w:hint="eastAsia"/>
                <w:color w:val="auto"/>
              </w:rPr>
              <w:t>）</w:t>
            </w:r>
            <w:r>
              <w:rPr>
                <w:color w:val="auto"/>
              </w:rPr>
              <w:t>初步设计报告的批复</w:t>
            </w:r>
            <w:r>
              <w:rPr>
                <w:rFonts w:hint="eastAsia"/>
                <w:color w:val="auto"/>
              </w:rPr>
              <w:t>》（</w:t>
            </w:r>
            <w:r>
              <w:rPr>
                <w:color w:val="auto"/>
              </w:rPr>
              <w:t>巴市水函〔2025〕71号</w:t>
            </w:r>
            <w:r>
              <w:rPr>
                <w:rFonts w:hint="eastAsia"/>
                <w:color w:val="auto"/>
              </w:rPr>
              <w:t>）</w:t>
            </w:r>
            <w:r>
              <w:rPr>
                <w:color w:val="auto"/>
              </w:rPr>
              <w:t>，因此，本项目符合国家现行产业政策。</w:t>
            </w:r>
          </w:p>
          <w:p w14:paraId="48BB69AD">
            <w:pPr>
              <w:adjustRightInd w:val="0"/>
              <w:snapToGrid w:val="0"/>
              <w:ind w:firstLine="482"/>
              <w:rPr>
                <w:b/>
                <w:bCs/>
                <w:color w:val="auto"/>
              </w:rPr>
            </w:pPr>
            <w:r>
              <w:rPr>
                <w:rFonts w:hint="eastAsia"/>
                <w:b/>
                <w:bCs/>
                <w:color w:val="auto"/>
              </w:rPr>
              <w:t>3、与《四川省、重庆市长江经济带发展负面清单实施细则（试行，2022年版）》的符合性分析</w:t>
            </w:r>
          </w:p>
          <w:p w14:paraId="58D1DAD4">
            <w:pPr>
              <w:pStyle w:val="17"/>
              <w:rPr>
                <w:rFonts w:hint="default"/>
                <w:color w:val="auto"/>
              </w:rPr>
            </w:pPr>
            <w:r>
              <w:rPr>
                <w:rFonts w:hint="default"/>
                <w:color w:val="auto"/>
              </w:rPr>
              <w:t>表1-</w:t>
            </w:r>
            <w:r>
              <w:rPr>
                <w:color w:val="auto"/>
              </w:rPr>
              <w:t>3</w:t>
            </w:r>
            <w:r>
              <w:rPr>
                <w:rFonts w:hint="default"/>
                <w:color w:val="auto"/>
              </w:rPr>
              <w:t xml:space="preserve"> </w:t>
            </w:r>
            <w:r>
              <w:rPr>
                <w:color w:val="auto"/>
              </w:rPr>
              <w:t>项目与《四川省、重庆市长江经济带发展负面清单实施细则（试行，2022年版）》的符合性分析</w:t>
            </w:r>
            <w:r>
              <w:rPr>
                <w:rFonts w:hint="default"/>
                <w:color w:val="auto"/>
              </w:rPr>
              <w:t>一览表</w:t>
            </w:r>
          </w:p>
          <w:tbl>
            <w:tblPr>
              <w:tblStyle w:val="1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0"/>
              <w:gridCol w:w="4806"/>
              <w:gridCol w:w="2605"/>
              <w:gridCol w:w="695"/>
            </w:tblGrid>
            <w:tr w14:paraId="00879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05C4CDB6">
                  <w:pPr>
                    <w:pStyle w:val="16"/>
                    <w:rPr>
                      <w:color w:val="auto"/>
                    </w:rPr>
                  </w:pPr>
                  <w:r>
                    <w:rPr>
                      <w:color w:val="auto"/>
                    </w:rPr>
                    <w:t>序号</w:t>
                  </w:r>
                </w:p>
              </w:tc>
              <w:tc>
                <w:tcPr>
                  <w:tcW w:w="2801" w:type="pct"/>
                  <w:tcBorders>
                    <w:tl2br w:val="nil"/>
                    <w:tr2bl w:val="nil"/>
                  </w:tcBorders>
                  <w:vAlign w:val="center"/>
                </w:tcPr>
                <w:p w14:paraId="6A1478A9">
                  <w:pPr>
                    <w:pStyle w:val="16"/>
                    <w:jc w:val="center"/>
                    <w:rPr>
                      <w:color w:val="auto"/>
                    </w:rPr>
                  </w:pPr>
                  <w:r>
                    <w:rPr>
                      <w:rFonts w:hint="eastAsia"/>
                      <w:color w:val="auto"/>
                    </w:rPr>
                    <w:t>四川省、重庆市长江经济带发展负面清单实施细则（试行，2022年版）</w:t>
                  </w:r>
                  <w:r>
                    <w:rPr>
                      <w:color w:val="auto"/>
                    </w:rPr>
                    <w:t>内容</w:t>
                  </w:r>
                </w:p>
              </w:tc>
              <w:tc>
                <w:tcPr>
                  <w:tcW w:w="1518" w:type="pct"/>
                  <w:tcBorders>
                    <w:tl2br w:val="nil"/>
                    <w:tr2bl w:val="nil"/>
                  </w:tcBorders>
                  <w:vAlign w:val="center"/>
                </w:tcPr>
                <w:p w14:paraId="2E65D86B">
                  <w:pPr>
                    <w:pStyle w:val="16"/>
                    <w:jc w:val="center"/>
                    <w:rPr>
                      <w:color w:val="auto"/>
                    </w:rPr>
                  </w:pPr>
                  <w:r>
                    <w:rPr>
                      <w:color w:val="auto"/>
                    </w:rPr>
                    <w:t>本项目情况</w:t>
                  </w:r>
                </w:p>
              </w:tc>
              <w:tc>
                <w:tcPr>
                  <w:tcW w:w="405" w:type="pct"/>
                  <w:tcBorders>
                    <w:tl2br w:val="nil"/>
                    <w:tr2bl w:val="nil"/>
                  </w:tcBorders>
                  <w:vAlign w:val="center"/>
                </w:tcPr>
                <w:p w14:paraId="142C3F5D">
                  <w:pPr>
                    <w:pStyle w:val="16"/>
                    <w:jc w:val="center"/>
                    <w:rPr>
                      <w:color w:val="auto"/>
                    </w:rPr>
                  </w:pPr>
                  <w:r>
                    <w:rPr>
                      <w:color w:val="auto"/>
                    </w:rPr>
                    <w:t>符合性</w:t>
                  </w:r>
                </w:p>
              </w:tc>
            </w:tr>
            <w:tr w14:paraId="1E78C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6D0529AE">
                  <w:pPr>
                    <w:pStyle w:val="16"/>
                    <w:rPr>
                      <w:color w:val="auto"/>
                    </w:rPr>
                  </w:pPr>
                  <w:r>
                    <w:rPr>
                      <w:color w:val="auto"/>
                    </w:rPr>
                    <w:t>1</w:t>
                  </w:r>
                </w:p>
              </w:tc>
              <w:tc>
                <w:tcPr>
                  <w:tcW w:w="2801" w:type="pct"/>
                  <w:tcBorders>
                    <w:tl2br w:val="nil"/>
                    <w:tr2bl w:val="nil"/>
                  </w:tcBorders>
                  <w:vAlign w:val="center"/>
                </w:tcPr>
                <w:p w14:paraId="7A1CD725">
                  <w:pPr>
                    <w:pStyle w:val="16"/>
                    <w:rPr>
                      <w:color w:val="auto"/>
                    </w:rPr>
                  </w:pPr>
                  <w:r>
                    <w:rPr>
                      <w:color w:val="auto"/>
                    </w:rPr>
                    <w:t>第七条 禁止在自然保护区核心区、缓冲区的岸线和河段范围内投资建设旅游和生产经营项目。自然保护区的内部未分区的，依照本实施细则核心区和缓冲区的规定管控。</w:t>
                  </w:r>
                </w:p>
              </w:tc>
              <w:tc>
                <w:tcPr>
                  <w:tcW w:w="1518" w:type="pct"/>
                  <w:tcBorders>
                    <w:tl2br w:val="nil"/>
                    <w:tr2bl w:val="nil"/>
                  </w:tcBorders>
                  <w:vAlign w:val="center"/>
                </w:tcPr>
                <w:p w14:paraId="3F769137">
                  <w:pPr>
                    <w:pStyle w:val="16"/>
                    <w:rPr>
                      <w:color w:val="auto"/>
                    </w:rPr>
                  </w:pPr>
                  <w:r>
                    <w:rPr>
                      <w:color w:val="auto"/>
                    </w:rPr>
                    <w:t>本项目不在自然保护区核心区、缓冲区的岸线和河段范围内，不属于旅游和生产经营项目</w:t>
                  </w:r>
                  <w:r>
                    <w:rPr>
                      <w:rFonts w:hint="eastAsia"/>
                      <w:color w:val="auto"/>
                    </w:rPr>
                    <w:t>。</w:t>
                  </w:r>
                </w:p>
              </w:tc>
              <w:tc>
                <w:tcPr>
                  <w:tcW w:w="405" w:type="pct"/>
                  <w:tcBorders>
                    <w:tl2br w:val="nil"/>
                    <w:tr2bl w:val="nil"/>
                  </w:tcBorders>
                  <w:vAlign w:val="center"/>
                </w:tcPr>
                <w:p w14:paraId="42ADBEAD">
                  <w:pPr>
                    <w:pStyle w:val="16"/>
                    <w:rPr>
                      <w:color w:val="auto"/>
                    </w:rPr>
                  </w:pPr>
                  <w:r>
                    <w:rPr>
                      <w:color w:val="auto"/>
                    </w:rPr>
                    <w:t>符合</w:t>
                  </w:r>
                </w:p>
              </w:tc>
            </w:tr>
            <w:tr w14:paraId="0B2A5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1AB334BA">
                  <w:pPr>
                    <w:pStyle w:val="16"/>
                    <w:rPr>
                      <w:color w:val="auto"/>
                    </w:rPr>
                  </w:pPr>
                  <w:r>
                    <w:rPr>
                      <w:color w:val="auto"/>
                    </w:rPr>
                    <w:t>2</w:t>
                  </w:r>
                </w:p>
              </w:tc>
              <w:tc>
                <w:tcPr>
                  <w:tcW w:w="2801" w:type="pct"/>
                  <w:tcBorders>
                    <w:tl2br w:val="nil"/>
                    <w:tr2bl w:val="nil"/>
                  </w:tcBorders>
                  <w:vAlign w:val="center"/>
                </w:tcPr>
                <w:p w14:paraId="67FA7313">
                  <w:pPr>
                    <w:pStyle w:val="16"/>
                    <w:rPr>
                      <w:color w:val="auto"/>
                    </w:rPr>
                  </w:pPr>
                  <w:r>
                    <w:rPr>
                      <w:color w:val="auto"/>
                    </w:rPr>
                    <w:t>第八条 禁止违反风景名胜区规划，在风景名胜区内设立各类开发区。禁止在风景名胜区核心景区的岸线和河段范围内建设宾馆、招待所、培训中心、疗养院以及与风景名胜资源保护无关的项目。</w:t>
                  </w:r>
                </w:p>
              </w:tc>
              <w:tc>
                <w:tcPr>
                  <w:tcW w:w="1518" w:type="pct"/>
                  <w:tcBorders>
                    <w:tl2br w:val="nil"/>
                    <w:tr2bl w:val="nil"/>
                  </w:tcBorders>
                  <w:vAlign w:val="center"/>
                </w:tcPr>
                <w:p w14:paraId="0E1D7FE4">
                  <w:pPr>
                    <w:pStyle w:val="16"/>
                    <w:rPr>
                      <w:color w:val="auto"/>
                    </w:rPr>
                  </w:pPr>
                  <w:r>
                    <w:rPr>
                      <w:color w:val="auto"/>
                    </w:rPr>
                    <w:t>本项目不在风景名胜区内</w:t>
                  </w:r>
                  <w:r>
                    <w:rPr>
                      <w:rFonts w:hint="eastAsia"/>
                      <w:color w:val="auto"/>
                    </w:rPr>
                    <w:t>；</w:t>
                  </w:r>
                  <w:r>
                    <w:rPr>
                      <w:color w:val="auto"/>
                    </w:rPr>
                    <w:t>不属于风景名胜区核心景区的岸线和河段范围内的宾馆、招待所、培训中心、疗养院以及风景名胜资源保护无关的项</w:t>
                  </w:r>
                  <w:r>
                    <w:rPr>
                      <w:rFonts w:hint="eastAsia"/>
                      <w:color w:val="auto"/>
                    </w:rPr>
                    <w:t>目。</w:t>
                  </w:r>
                </w:p>
              </w:tc>
              <w:tc>
                <w:tcPr>
                  <w:tcW w:w="405" w:type="pct"/>
                  <w:tcBorders>
                    <w:tl2br w:val="nil"/>
                    <w:tr2bl w:val="nil"/>
                  </w:tcBorders>
                  <w:vAlign w:val="center"/>
                </w:tcPr>
                <w:p w14:paraId="1CBFF518">
                  <w:pPr>
                    <w:pStyle w:val="16"/>
                    <w:rPr>
                      <w:color w:val="auto"/>
                    </w:rPr>
                  </w:pPr>
                  <w:r>
                    <w:rPr>
                      <w:color w:val="auto"/>
                    </w:rPr>
                    <w:t>符合</w:t>
                  </w:r>
                </w:p>
              </w:tc>
            </w:tr>
            <w:tr w14:paraId="61389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71E8BCEF">
                  <w:pPr>
                    <w:pStyle w:val="16"/>
                    <w:rPr>
                      <w:color w:val="auto"/>
                    </w:rPr>
                  </w:pPr>
                  <w:r>
                    <w:rPr>
                      <w:color w:val="auto"/>
                    </w:rPr>
                    <w:t>3</w:t>
                  </w:r>
                </w:p>
              </w:tc>
              <w:tc>
                <w:tcPr>
                  <w:tcW w:w="2801" w:type="pct"/>
                  <w:tcBorders>
                    <w:tl2br w:val="nil"/>
                    <w:tr2bl w:val="nil"/>
                  </w:tcBorders>
                  <w:vAlign w:val="center"/>
                </w:tcPr>
                <w:p w14:paraId="08A52114">
                  <w:pPr>
                    <w:pStyle w:val="16"/>
                    <w:rPr>
                      <w:color w:val="auto"/>
                    </w:rPr>
                  </w:pPr>
                  <w:r>
                    <w:rPr>
                      <w:color w:val="auto"/>
                    </w:rPr>
                    <w:t>第九条 禁止在饮用水水源准保护区的岸线和河段范围内新建、扩建对水体污染严重的建设项目，禁止改建增加排污量的建设项目。</w:t>
                  </w:r>
                </w:p>
              </w:tc>
              <w:tc>
                <w:tcPr>
                  <w:tcW w:w="1518" w:type="pct"/>
                  <w:tcBorders>
                    <w:tl2br w:val="nil"/>
                    <w:tr2bl w:val="nil"/>
                  </w:tcBorders>
                  <w:vAlign w:val="center"/>
                </w:tcPr>
                <w:p w14:paraId="41F2A04E">
                  <w:pPr>
                    <w:pStyle w:val="16"/>
                    <w:rPr>
                      <w:color w:val="auto"/>
                    </w:rPr>
                  </w:pPr>
                  <w:r>
                    <w:rPr>
                      <w:color w:val="auto"/>
                    </w:rPr>
                    <w:t>本项</w:t>
                  </w:r>
                  <w:r>
                    <w:rPr>
                      <w:rFonts w:hint="eastAsia"/>
                      <w:color w:val="auto"/>
                    </w:rPr>
                    <w:t>目为饮用水供水工程，</w:t>
                  </w:r>
                  <w:r>
                    <w:rPr>
                      <w:color w:val="auto"/>
                    </w:rPr>
                    <w:t>不在</w:t>
                  </w:r>
                  <w:r>
                    <w:rPr>
                      <w:rFonts w:hint="eastAsia"/>
                      <w:color w:val="auto"/>
                    </w:rPr>
                    <w:t>现状</w:t>
                  </w:r>
                  <w:r>
                    <w:rPr>
                      <w:color w:val="auto"/>
                    </w:rPr>
                    <w:t>饮用水水源准保护区的岸线和河段范围内。</w:t>
                  </w:r>
                </w:p>
              </w:tc>
              <w:tc>
                <w:tcPr>
                  <w:tcW w:w="405" w:type="pct"/>
                  <w:tcBorders>
                    <w:tl2br w:val="nil"/>
                    <w:tr2bl w:val="nil"/>
                  </w:tcBorders>
                  <w:vAlign w:val="center"/>
                </w:tcPr>
                <w:p w14:paraId="13FCB857">
                  <w:pPr>
                    <w:pStyle w:val="16"/>
                    <w:rPr>
                      <w:color w:val="auto"/>
                    </w:rPr>
                  </w:pPr>
                  <w:r>
                    <w:rPr>
                      <w:color w:val="auto"/>
                    </w:rPr>
                    <w:t>符合</w:t>
                  </w:r>
                </w:p>
              </w:tc>
            </w:tr>
            <w:tr w14:paraId="0D7713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5368908A">
                  <w:pPr>
                    <w:pStyle w:val="16"/>
                    <w:rPr>
                      <w:color w:val="auto"/>
                    </w:rPr>
                  </w:pPr>
                  <w:r>
                    <w:rPr>
                      <w:color w:val="auto"/>
                    </w:rPr>
                    <w:t>4</w:t>
                  </w:r>
                </w:p>
              </w:tc>
              <w:tc>
                <w:tcPr>
                  <w:tcW w:w="2801" w:type="pct"/>
                  <w:tcBorders>
                    <w:tl2br w:val="nil"/>
                    <w:tr2bl w:val="nil"/>
                  </w:tcBorders>
                  <w:vAlign w:val="center"/>
                </w:tcPr>
                <w:p w14:paraId="6D7DECCD">
                  <w:pPr>
                    <w:pStyle w:val="16"/>
                    <w:rPr>
                      <w:color w:val="auto"/>
                    </w:rPr>
                  </w:pPr>
                  <w:r>
                    <w:rPr>
                      <w:color w:val="auto"/>
                    </w:rPr>
                    <w:t>第十条 饮用水水源二级保护区的岸线和河段范围内，除应遵守准保护区规定外，禁止新建、改建、扩建排放污染物的投资建设项目</w:t>
                  </w:r>
                  <w:r>
                    <w:rPr>
                      <w:rFonts w:hint="eastAsia"/>
                      <w:color w:val="auto"/>
                    </w:rPr>
                    <w:t>；</w:t>
                  </w:r>
                  <w:r>
                    <w:rPr>
                      <w:color w:val="auto"/>
                    </w:rPr>
                    <w:t>禁止从事采石</w:t>
                  </w:r>
                  <w:r>
                    <w:rPr>
                      <w:rFonts w:hint="eastAsia"/>
                      <w:color w:val="auto"/>
                    </w:rPr>
                    <w:t>（</w:t>
                  </w:r>
                  <w:r>
                    <w:rPr>
                      <w:color w:val="auto"/>
                    </w:rPr>
                    <w:t>砂</w:t>
                  </w:r>
                  <w:r>
                    <w:rPr>
                      <w:rFonts w:hint="eastAsia"/>
                      <w:color w:val="auto"/>
                    </w:rPr>
                    <w:t>）</w:t>
                  </w:r>
                  <w:r>
                    <w:rPr>
                      <w:color w:val="auto"/>
                    </w:rPr>
                    <w:t>、对水体有污染的水产养殖等活动。</w:t>
                  </w:r>
                </w:p>
              </w:tc>
              <w:tc>
                <w:tcPr>
                  <w:tcW w:w="1518" w:type="pct"/>
                  <w:tcBorders>
                    <w:tl2br w:val="nil"/>
                    <w:tr2bl w:val="nil"/>
                  </w:tcBorders>
                  <w:vAlign w:val="center"/>
                </w:tcPr>
                <w:p w14:paraId="12F2592E">
                  <w:pPr>
                    <w:pStyle w:val="16"/>
                    <w:rPr>
                      <w:color w:val="auto"/>
                    </w:rPr>
                  </w:pPr>
                  <w:r>
                    <w:rPr>
                      <w:color w:val="auto"/>
                    </w:rPr>
                    <w:t>本项目不在</w:t>
                  </w:r>
                  <w:r>
                    <w:rPr>
                      <w:rFonts w:hint="eastAsia"/>
                      <w:color w:val="auto"/>
                    </w:rPr>
                    <w:t>现状</w:t>
                  </w:r>
                  <w:r>
                    <w:rPr>
                      <w:color w:val="auto"/>
                    </w:rPr>
                    <w:t>饮用水水源二级保护区的岸线和河段范围内。</w:t>
                  </w:r>
                </w:p>
              </w:tc>
              <w:tc>
                <w:tcPr>
                  <w:tcW w:w="405" w:type="pct"/>
                  <w:tcBorders>
                    <w:tl2br w:val="nil"/>
                    <w:tr2bl w:val="nil"/>
                  </w:tcBorders>
                  <w:vAlign w:val="center"/>
                </w:tcPr>
                <w:p w14:paraId="7653F1FB">
                  <w:pPr>
                    <w:pStyle w:val="16"/>
                    <w:rPr>
                      <w:color w:val="auto"/>
                    </w:rPr>
                  </w:pPr>
                  <w:r>
                    <w:rPr>
                      <w:color w:val="auto"/>
                    </w:rPr>
                    <w:t>符合</w:t>
                  </w:r>
                </w:p>
              </w:tc>
            </w:tr>
            <w:tr w14:paraId="371DE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2C40B0B7">
                  <w:pPr>
                    <w:pStyle w:val="16"/>
                    <w:rPr>
                      <w:color w:val="auto"/>
                    </w:rPr>
                  </w:pPr>
                  <w:r>
                    <w:rPr>
                      <w:color w:val="auto"/>
                    </w:rPr>
                    <w:t>5</w:t>
                  </w:r>
                </w:p>
              </w:tc>
              <w:tc>
                <w:tcPr>
                  <w:tcW w:w="2801" w:type="pct"/>
                  <w:tcBorders>
                    <w:tl2br w:val="nil"/>
                    <w:tr2bl w:val="nil"/>
                  </w:tcBorders>
                  <w:vAlign w:val="center"/>
                </w:tcPr>
                <w:p w14:paraId="48C82A41">
                  <w:pPr>
                    <w:pStyle w:val="16"/>
                    <w:rPr>
                      <w:color w:val="auto"/>
                    </w:rPr>
                  </w:pPr>
                  <w:r>
                    <w:rPr>
                      <w:color w:val="auto"/>
                    </w:rPr>
                    <w:t>第十一条 饮用水水源一级保护区的岸线和河段范围内，除应遵守二级保护区规定外，禁止新建、改建、扩建与供</w:t>
                  </w:r>
                  <w:r>
                    <w:rPr>
                      <w:rFonts w:hint="eastAsia"/>
                      <w:color w:val="auto"/>
                    </w:rPr>
                    <w:t>（</w:t>
                  </w:r>
                  <w:r>
                    <w:rPr>
                      <w:color w:val="auto"/>
                    </w:rPr>
                    <w:t>取</w:t>
                  </w:r>
                  <w:r>
                    <w:rPr>
                      <w:rFonts w:hint="eastAsia"/>
                      <w:color w:val="auto"/>
                    </w:rPr>
                    <w:t>）</w:t>
                  </w:r>
                  <w:r>
                    <w:rPr>
                      <w:color w:val="auto"/>
                    </w:rPr>
                    <w:t>水设施和保护水源无关的项目，以及网箱养殖、畜禽养殖、旅游等可能污染饮用水水体的投资建设项目。</w:t>
                  </w:r>
                </w:p>
              </w:tc>
              <w:tc>
                <w:tcPr>
                  <w:tcW w:w="1518" w:type="pct"/>
                  <w:tcBorders>
                    <w:tl2br w:val="nil"/>
                    <w:tr2bl w:val="nil"/>
                  </w:tcBorders>
                  <w:vAlign w:val="center"/>
                </w:tcPr>
                <w:p w14:paraId="4209EE48">
                  <w:pPr>
                    <w:pStyle w:val="16"/>
                    <w:rPr>
                      <w:color w:val="auto"/>
                    </w:rPr>
                  </w:pPr>
                  <w:r>
                    <w:rPr>
                      <w:color w:val="auto"/>
                    </w:rPr>
                    <w:t>本项目不在</w:t>
                  </w:r>
                  <w:r>
                    <w:rPr>
                      <w:rFonts w:hint="eastAsia"/>
                      <w:color w:val="auto"/>
                    </w:rPr>
                    <w:t>现状</w:t>
                  </w:r>
                  <w:r>
                    <w:rPr>
                      <w:color w:val="auto"/>
                    </w:rPr>
                    <w:t>饮用水水源一级保护区的岸线和河段范围内。</w:t>
                  </w:r>
                </w:p>
              </w:tc>
              <w:tc>
                <w:tcPr>
                  <w:tcW w:w="405" w:type="pct"/>
                  <w:tcBorders>
                    <w:tl2br w:val="nil"/>
                    <w:tr2bl w:val="nil"/>
                  </w:tcBorders>
                  <w:vAlign w:val="center"/>
                </w:tcPr>
                <w:p w14:paraId="120724DD">
                  <w:pPr>
                    <w:pStyle w:val="16"/>
                    <w:rPr>
                      <w:color w:val="auto"/>
                    </w:rPr>
                  </w:pPr>
                  <w:r>
                    <w:rPr>
                      <w:color w:val="auto"/>
                    </w:rPr>
                    <w:t>符合</w:t>
                  </w:r>
                </w:p>
              </w:tc>
            </w:tr>
            <w:tr w14:paraId="1FDF98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11BC333D">
                  <w:pPr>
                    <w:pStyle w:val="16"/>
                    <w:rPr>
                      <w:color w:val="auto"/>
                    </w:rPr>
                  </w:pPr>
                  <w:r>
                    <w:rPr>
                      <w:color w:val="auto"/>
                    </w:rPr>
                    <w:t>6</w:t>
                  </w:r>
                </w:p>
              </w:tc>
              <w:tc>
                <w:tcPr>
                  <w:tcW w:w="2801" w:type="pct"/>
                  <w:tcBorders>
                    <w:tl2br w:val="nil"/>
                    <w:tr2bl w:val="nil"/>
                  </w:tcBorders>
                  <w:vAlign w:val="center"/>
                </w:tcPr>
                <w:p w14:paraId="7C0662FA">
                  <w:pPr>
                    <w:pStyle w:val="16"/>
                    <w:rPr>
                      <w:color w:val="auto"/>
                    </w:rPr>
                  </w:pPr>
                  <w:r>
                    <w:rPr>
                      <w:color w:val="auto"/>
                    </w:rPr>
                    <w:t>第十二条 禁止在水产种质资源保护区岸线和河段范围内新建围湖造田、围湖造地或挖沙采石等投资建设项目。</w:t>
                  </w:r>
                </w:p>
              </w:tc>
              <w:tc>
                <w:tcPr>
                  <w:tcW w:w="1518" w:type="pct"/>
                  <w:tcBorders>
                    <w:tl2br w:val="nil"/>
                    <w:tr2bl w:val="nil"/>
                  </w:tcBorders>
                  <w:vAlign w:val="center"/>
                </w:tcPr>
                <w:p w14:paraId="1C101D63">
                  <w:pPr>
                    <w:pStyle w:val="16"/>
                    <w:rPr>
                      <w:color w:val="auto"/>
                    </w:rPr>
                  </w:pPr>
                  <w:r>
                    <w:rPr>
                      <w:color w:val="auto"/>
                    </w:rPr>
                    <w:t>本项目不在水产种质资源保护区岸线和河段范围内</w:t>
                  </w:r>
                  <w:r>
                    <w:rPr>
                      <w:rFonts w:hint="eastAsia"/>
                      <w:color w:val="auto"/>
                    </w:rPr>
                    <w:t>。</w:t>
                  </w:r>
                </w:p>
              </w:tc>
              <w:tc>
                <w:tcPr>
                  <w:tcW w:w="405" w:type="pct"/>
                  <w:tcBorders>
                    <w:tl2br w:val="nil"/>
                    <w:tr2bl w:val="nil"/>
                  </w:tcBorders>
                  <w:vAlign w:val="center"/>
                </w:tcPr>
                <w:p w14:paraId="31442F84">
                  <w:pPr>
                    <w:pStyle w:val="16"/>
                    <w:rPr>
                      <w:color w:val="auto"/>
                    </w:rPr>
                  </w:pPr>
                  <w:r>
                    <w:rPr>
                      <w:color w:val="auto"/>
                    </w:rPr>
                    <w:t>符合</w:t>
                  </w:r>
                </w:p>
              </w:tc>
            </w:tr>
            <w:tr w14:paraId="769FC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5FEBF22C">
                  <w:pPr>
                    <w:pStyle w:val="16"/>
                    <w:rPr>
                      <w:color w:val="auto"/>
                    </w:rPr>
                  </w:pPr>
                  <w:r>
                    <w:rPr>
                      <w:color w:val="auto"/>
                    </w:rPr>
                    <w:t>7</w:t>
                  </w:r>
                </w:p>
              </w:tc>
              <w:tc>
                <w:tcPr>
                  <w:tcW w:w="2801" w:type="pct"/>
                  <w:tcBorders>
                    <w:tl2br w:val="nil"/>
                    <w:tr2bl w:val="nil"/>
                  </w:tcBorders>
                  <w:vAlign w:val="center"/>
                </w:tcPr>
                <w:p w14:paraId="79B66E7A">
                  <w:pPr>
                    <w:pStyle w:val="16"/>
                    <w:rPr>
                      <w:color w:val="auto"/>
                    </w:rPr>
                  </w:pPr>
                  <w:r>
                    <w:rPr>
                      <w:color w:val="auto"/>
                    </w:rPr>
                    <w:t>第十三条 禁止在国家湿地公园的岸线和河段范围内开</w:t>
                  </w:r>
                  <w:r>
                    <w:rPr>
                      <w:rFonts w:hint="eastAsia"/>
                      <w:color w:val="auto"/>
                    </w:rPr>
                    <w:t>（</w:t>
                  </w:r>
                  <w:r>
                    <w:rPr>
                      <w:color w:val="auto"/>
                    </w:rPr>
                    <w:t>围</w:t>
                  </w:r>
                  <w:r>
                    <w:rPr>
                      <w:rFonts w:hint="eastAsia"/>
                      <w:color w:val="auto"/>
                    </w:rPr>
                    <w:t>）</w:t>
                  </w:r>
                  <w:r>
                    <w:rPr>
                      <w:color w:val="auto"/>
                    </w:rPr>
                    <w:t>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w:t>
                  </w:r>
                </w:p>
              </w:tc>
              <w:tc>
                <w:tcPr>
                  <w:tcW w:w="1518" w:type="pct"/>
                  <w:tcBorders>
                    <w:tl2br w:val="nil"/>
                    <w:tr2bl w:val="nil"/>
                  </w:tcBorders>
                  <w:vAlign w:val="center"/>
                </w:tcPr>
                <w:p w14:paraId="66B93F1F">
                  <w:pPr>
                    <w:pStyle w:val="16"/>
                    <w:rPr>
                      <w:color w:val="auto"/>
                    </w:rPr>
                  </w:pPr>
                  <w:r>
                    <w:rPr>
                      <w:color w:val="auto"/>
                    </w:rPr>
                    <w:t>本项目不在国家湿地公园的岸线和河段范围内</w:t>
                  </w:r>
                  <w:r>
                    <w:rPr>
                      <w:rFonts w:hint="eastAsia"/>
                      <w:color w:val="auto"/>
                    </w:rPr>
                    <w:t>。</w:t>
                  </w:r>
                </w:p>
              </w:tc>
              <w:tc>
                <w:tcPr>
                  <w:tcW w:w="405" w:type="pct"/>
                  <w:tcBorders>
                    <w:tl2br w:val="nil"/>
                    <w:tr2bl w:val="nil"/>
                  </w:tcBorders>
                  <w:vAlign w:val="center"/>
                </w:tcPr>
                <w:p w14:paraId="6BB76B64">
                  <w:pPr>
                    <w:pStyle w:val="16"/>
                    <w:rPr>
                      <w:color w:val="auto"/>
                    </w:rPr>
                  </w:pPr>
                  <w:r>
                    <w:rPr>
                      <w:color w:val="auto"/>
                    </w:rPr>
                    <w:t>符合</w:t>
                  </w:r>
                </w:p>
              </w:tc>
            </w:tr>
            <w:tr w14:paraId="0E8DCE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69BF0FE1">
                  <w:pPr>
                    <w:pStyle w:val="16"/>
                    <w:rPr>
                      <w:color w:val="auto"/>
                    </w:rPr>
                  </w:pPr>
                  <w:r>
                    <w:rPr>
                      <w:color w:val="auto"/>
                    </w:rPr>
                    <w:t>8</w:t>
                  </w:r>
                </w:p>
              </w:tc>
              <w:tc>
                <w:tcPr>
                  <w:tcW w:w="2801" w:type="pct"/>
                  <w:tcBorders>
                    <w:tl2br w:val="nil"/>
                    <w:tr2bl w:val="nil"/>
                  </w:tcBorders>
                  <w:vAlign w:val="center"/>
                </w:tcPr>
                <w:p w14:paraId="61D10F11">
                  <w:pPr>
                    <w:pStyle w:val="16"/>
                    <w:rPr>
                      <w:color w:val="auto"/>
                    </w:rPr>
                  </w:pPr>
                  <w:r>
                    <w:rPr>
                      <w:color w:val="auto"/>
                    </w:rPr>
                    <w:t>第十四条 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518" w:type="pct"/>
                  <w:tcBorders>
                    <w:tl2br w:val="nil"/>
                    <w:tr2bl w:val="nil"/>
                  </w:tcBorders>
                  <w:vAlign w:val="center"/>
                </w:tcPr>
                <w:p w14:paraId="2C3BE155">
                  <w:pPr>
                    <w:pStyle w:val="16"/>
                    <w:rPr>
                      <w:color w:val="auto"/>
                    </w:rPr>
                  </w:pPr>
                  <w:r>
                    <w:rPr>
                      <w:rFonts w:hint="eastAsia"/>
                      <w:color w:val="auto"/>
                    </w:rPr>
                    <w:t>本项目为供水及灌溉工程，未</w:t>
                  </w:r>
                  <w:r>
                    <w:rPr>
                      <w:color w:val="auto"/>
                    </w:rPr>
                    <w:t>违法利用、占用长江流域河湖岸线。</w:t>
                  </w:r>
                </w:p>
              </w:tc>
              <w:tc>
                <w:tcPr>
                  <w:tcW w:w="405" w:type="pct"/>
                  <w:tcBorders>
                    <w:tl2br w:val="nil"/>
                    <w:tr2bl w:val="nil"/>
                  </w:tcBorders>
                  <w:vAlign w:val="center"/>
                </w:tcPr>
                <w:p w14:paraId="104051C6">
                  <w:pPr>
                    <w:pStyle w:val="16"/>
                    <w:rPr>
                      <w:color w:val="auto"/>
                    </w:rPr>
                  </w:pPr>
                  <w:r>
                    <w:rPr>
                      <w:color w:val="auto"/>
                    </w:rPr>
                    <w:t>符合</w:t>
                  </w:r>
                </w:p>
              </w:tc>
            </w:tr>
            <w:tr w14:paraId="012A04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71465F2F">
                  <w:pPr>
                    <w:pStyle w:val="16"/>
                    <w:rPr>
                      <w:color w:val="auto"/>
                    </w:rPr>
                  </w:pPr>
                  <w:r>
                    <w:rPr>
                      <w:color w:val="auto"/>
                    </w:rPr>
                    <w:t>9</w:t>
                  </w:r>
                </w:p>
              </w:tc>
              <w:tc>
                <w:tcPr>
                  <w:tcW w:w="2801" w:type="pct"/>
                  <w:tcBorders>
                    <w:tl2br w:val="nil"/>
                    <w:tr2bl w:val="nil"/>
                  </w:tcBorders>
                  <w:vAlign w:val="center"/>
                </w:tcPr>
                <w:p w14:paraId="33BE78EC">
                  <w:pPr>
                    <w:pStyle w:val="16"/>
                    <w:rPr>
                      <w:color w:val="auto"/>
                    </w:rPr>
                  </w:pPr>
                  <w:r>
                    <w:rPr>
                      <w:color w:val="auto"/>
                    </w:rPr>
                    <w:t>第十八条 禁止在长江干支流、重要湖泊岸线一公里范围内新建、扩建化工园区和化工项目。</w:t>
                  </w:r>
                </w:p>
              </w:tc>
              <w:tc>
                <w:tcPr>
                  <w:tcW w:w="1518" w:type="pct"/>
                  <w:tcBorders>
                    <w:tl2br w:val="nil"/>
                    <w:tr2bl w:val="nil"/>
                  </w:tcBorders>
                  <w:vAlign w:val="center"/>
                </w:tcPr>
                <w:p w14:paraId="2D31D079">
                  <w:pPr>
                    <w:pStyle w:val="16"/>
                    <w:rPr>
                      <w:color w:val="auto"/>
                    </w:rPr>
                  </w:pPr>
                  <w:r>
                    <w:rPr>
                      <w:color w:val="auto"/>
                    </w:rPr>
                    <w:t>本项目不属于化工项目及化工园区</w:t>
                  </w:r>
                  <w:r>
                    <w:rPr>
                      <w:rFonts w:hint="eastAsia"/>
                      <w:color w:val="auto"/>
                    </w:rPr>
                    <w:t>。</w:t>
                  </w:r>
                </w:p>
              </w:tc>
              <w:tc>
                <w:tcPr>
                  <w:tcW w:w="405" w:type="pct"/>
                  <w:tcBorders>
                    <w:tl2br w:val="nil"/>
                    <w:tr2bl w:val="nil"/>
                  </w:tcBorders>
                  <w:vAlign w:val="center"/>
                </w:tcPr>
                <w:p w14:paraId="6B178A85">
                  <w:pPr>
                    <w:pStyle w:val="16"/>
                    <w:rPr>
                      <w:color w:val="auto"/>
                    </w:rPr>
                  </w:pPr>
                  <w:r>
                    <w:rPr>
                      <w:color w:val="auto"/>
                    </w:rPr>
                    <w:t>符合</w:t>
                  </w:r>
                </w:p>
              </w:tc>
            </w:tr>
            <w:tr w14:paraId="3606C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440DE3FB">
                  <w:pPr>
                    <w:pStyle w:val="16"/>
                    <w:rPr>
                      <w:color w:val="auto"/>
                    </w:rPr>
                  </w:pPr>
                  <w:r>
                    <w:rPr>
                      <w:color w:val="auto"/>
                    </w:rPr>
                    <w:t>10</w:t>
                  </w:r>
                </w:p>
              </w:tc>
              <w:tc>
                <w:tcPr>
                  <w:tcW w:w="2801" w:type="pct"/>
                  <w:tcBorders>
                    <w:tl2br w:val="nil"/>
                    <w:tr2bl w:val="nil"/>
                  </w:tcBorders>
                  <w:vAlign w:val="center"/>
                </w:tcPr>
                <w:p w14:paraId="63EFE302">
                  <w:pPr>
                    <w:pStyle w:val="16"/>
                    <w:rPr>
                      <w:color w:val="auto"/>
                    </w:rPr>
                  </w:pPr>
                  <w:r>
                    <w:rPr>
                      <w:color w:val="auto"/>
                    </w:rPr>
                    <w:t>第十九条 禁止在长江干流岸线三公里范围内和重要支流岸线一公里范围内新建、改建、扩建尾矿库、冶炼渣库、磷石膏库，以提升安全、生态环境保护水平为目的的改建除外。</w:t>
                  </w:r>
                </w:p>
              </w:tc>
              <w:tc>
                <w:tcPr>
                  <w:tcW w:w="1518" w:type="pct"/>
                  <w:tcBorders>
                    <w:tl2br w:val="nil"/>
                    <w:tr2bl w:val="nil"/>
                  </w:tcBorders>
                  <w:vAlign w:val="center"/>
                </w:tcPr>
                <w:p w14:paraId="04E4AC55">
                  <w:pPr>
                    <w:pStyle w:val="16"/>
                    <w:rPr>
                      <w:color w:val="auto"/>
                    </w:rPr>
                  </w:pPr>
                  <w:r>
                    <w:rPr>
                      <w:color w:val="auto"/>
                    </w:rPr>
                    <w:t>本项目河段不</w:t>
                  </w:r>
                  <w:r>
                    <w:rPr>
                      <w:rFonts w:hint="eastAsia"/>
                      <w:color w:val="auto"/>
                    </w:rPr>
                    <w:t>在</w:t>
                  </w:r>
                  <w:r>
                    <w:rPr>
                      <w:color w:val="auto"/>
                    </w:rPr>
                    <w:t>长江干流，且本项目不属于新建、扩建尾矿库、冶炼渣库、磷石膏库等。</w:t>
                  </w:r>
                </w:p>
              </w:tc>
              <w:tc>
                <w:tcPr>
                  <w:tcW w:w="405" w:type="pct"/>
                  <w:tcBorders>
                    <w:tl2br w:val="nil"/>
                    <w:tr2bl w:val="nil"/>
                  </w:tcBorders>
                  <w:vAlign w:val="center"/>
                </w:tcPr>
                <w:p w14:paraId="53B3DBDF">
                  <w:pPr>
                    <w:pStyle w:val="16"/>
                    <w:rPr>
                      <w:color w:val="auto"/>
                    </w:rPr>
                  </w:pPr>
                  <w:r>
                    <w:rPr>
                      <w:color w:val="auto"/>
                    </w:rPr>
                    <w:t>符合</w:t>
                  </w:r>
                </w:p>
              </w:tc>
            </w:tr>
            <w:tr w14:paraId="11E0EB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3DFA4F61">
                  <w:pPr>
                    <w:pStyle w:val="16"/>
                    <w:rPr>
                      <w:color w:val="auto"/>
                    </w:rPr>
                  </w:pPr>
                  <w:r>
                    <w:rPr>
                      <w:color w:val="auto"/>
                    </w:rPr>
                    <w:t>11</w:t>
                  </w:r>
                </w:p>
              </w:tc>
              <w:tc>
                <w:tcPr>
                  <w:tcW w:w="2801" w:type="pct"/>
                  <w:tcBorders>
                    <w:tl2br w:val="nil"/>
                    <w:tr2bl w:val="nil"/>
                  </w:tcBorders>
                  <w:vAlign w:val="center"/>
                </w:tcPr>
                <w:p w14:paraId="46C404C5">
                  <w:pPr>
                    <w:pStyle w:val="16"/>
                    <w:rPr>
                      <w:color w:val="auto"/>
                    </w:rPr>
                  </w:pPr>
                  <w:r>
                    <w:rPr>
                      <w:color w:val="auto"/>
                    </w:rPr>
                    <w:t>第二十条 禁止在生态保护红线区域、永久基本农田集中区域和其他需要特别保护的区域内选址建设尾矿库、冶炼渣库、磷石膏库</w:t>
                  </w:r>
                  <w:r>
                    <w:rPr>
                      <w:rFonts w:hint="eastAsia"/>
                      <w:color w:val="auto"/>
                    </w:rPr>
                    <w:t>。</w:t>
                  </w:r>
                </w:p>
              </w:tc>
              <w:tc>
                <w:tcPr>
                  <w:tcW w:w="1518" w:type="pct"/>
                  <w:tcBorders>
                    <w:tl2br w:val="nil"/>
                    <w:tr2bl w:val="nil"/>
                  </w:tcBorders>
                  <w:vAlign w:val="center"/>
                </w:tcPr>
                <w:p w14:paraId="68F7CCCF">
                  <w:pPr>
                    <w:pStyle w:val="16"/>
                    <w:rPr>
                      <w:color w:val="auto"/>
                    </w:rPr>
                  </w:pPr>
                  <w:r>
                    <w:rPr>
                      <w:color w:val="auto"/>
                    </w:rPr>
                    <w:t>本项目不涉及生态保护红线、永久基本农田集中区域和其他需要特别保护的区域，且项目不属于尾矿库、冶炼渣库、磷石膏库</w:t>
                  </w:r>
                  <w:r>
                    <w:rPr>
                      <w:rFonts w:hint="eastAsia"/>
                      <w:color w:val="auto"/>
                    </w:rPr>
                    <w:t>。</w:t>
                  </w:r>
                </w:p>
              </w:tc>
              <w:tc>
                <w:tcPr>
                  <w:tcW w:w="405" w:type="pct"/>
                  <w:tcBorders>
                    <w:tl2br w:val="nil"/>
                    <w:tr2bl w:val="nil"/>
                  </w:tcBorders>
                  <w:vAlign w:val="center"/>
                </w:tcPr>
                <w:p w14:paraId="057919D6">
                  <w:pPr>
                    <w:pStyle w:val="16"/>
                    <w:rPr>
                      <w:color w:val="auto"/>
                    </w:rPr>
                  </w:pPr>
                  <w:r>
                    <w:rPr>
                      <w:color w:val="auto"/>
                    </w:rPr>
                    <w:t>符合</w:t>
                  </w:r>
                </w:p>
              </w:tc>
            </w:tr>
            <w:tr w14:paraId="6D649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7CAA0AC9">
                  <w:pPr>
                    <w:pStyle w:val="16"/>
                    <w:rPr>
                      <w:color w:val="auto"/>
                    </w:rPr>
                  </w:pPr>
                  <w:r>
                    <w:rPr>
                      <w:rFonts w:hint="eastAsia"/>
                      <w:color w:val="auto"/>
                    </w:rPr>
                    <w:t>12</w:t>
                  </w:r>
                </w:p>
              </w:tc>
              <w:tc>
                <w:tcPr>
                  <w:tcW w:w="2801" w:type="pct"/>
                  <w:tcBorders>
                    <w:tl2br w:val="nil"/>
                    <w:tr2bl w:val="nil"/>
                  </w:tcBorders>
                  <w:vAlign w:val="center"/>
                </w:tcPr>
                <w:p w14:paraId="226CB622">
                  <w:pPr>
                    <w:pStyle w:val="16"/>
                    <w:rPr>
                      <w:color w:val="auto"/>
                    </w:rPr>
                  </w:pPr>
                  <w:r>
                    <w:rPr>
                      <w:color w:val="auto"/>
                    </w:rPr>
                    <w:t>第二十一条 禁止在合规园区外新建、扩建钢铁、石化、化工、焦化、建材、有色、制浆造纸等高污染项目</w:t>
                  </w:r>
                  <w:r>
                    <w:rPr>
                      <w:rFonts w:hint="eastAsia"/>
                      <w:color w:val="auto"/>
                    </w:rPr>
                    <w:t>。</w:t>
                  </w:r>
                </w:p>
              </w:tc>
              <w:tc>
                <w:tcPr>
                  <w:tcW w:w="1518" w:type="pct"/>
                  <w:tcBorders>
                    <w:tl2br w:val="nil"/>
                    <w:tr2bl w:val="nil"/>
                  </w:tcBorders>
                  <w:vAlign w:val="center"/>
                </w:tcPr>
                <w:p w14:paraId="3F940C98">
                  <w:pPr>
                    <w:pStyle w:val="16"/>
                    <w:rPr>
                      <w:color w:val="auto"/>
                    </w:rPr>
                  </w:pPr>
                  <w:r>
                    <w:rPr>
                      <w:color w:val="auto"/>
                    </w:rPr>
                    <w:t>本项目不属于新建、扩建钢铁、石化、化工、焦化、建材、有色、制浆造纸等高污染项目</w:t>
                  </w:r>
                  <w:r>
                    <w:rPr>
                      <w:rFonts w:hint="eastAsia"/>
                      <w:color w:val="auto"/>
                    </w:rPr>
                    <w:t>。</w:t>
                  </w:r>
                </w:p>
              </w:tc>
              <w:tc>
                <w:tcPr>
                  <w:tcW w:w="405" w:type="pct"/>
                  <w:tcBorders>
                    <w:tl2br w:val="nil"/>
                    <w:tr2bl w:val="nil"/>
                  </w:tcBorders>
                  <w:vAlign w:val="center"/>
                </w:tcPr>
                <w:p w14:paraId="2DB3FFAF">
                  <w:pPr>
                    <w:pStyle w:val="16"/>
                    <w:rPr>
                      <w:color w:val="auto"/>
                    </w:rPr>
                  </w:pPr>
                  <w:r>
                    <w:rPr>
                      <w:color w:val="auto"/>
                    </w:rPr>
                    <w:t>符合</w:t>
                  </w:r>
                </w:p>
              </w:tc>
            </w:tr>
            <w:tr w14:paraId="567034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46CBCAD3">
                  <w:pPr>
                    <w:pStyle w:val="16"/>
                    <w:rPr>
                      <w:color w:val="auto"/>
                    </w:rPr>
                  </w:pPr>
                  <w:r>
                    <w:rPr>
                      <w:rFonts w:hint="eastAsia"/>
                      <w:color w:val="auto"/>
                    </w:rPr>
                    <w:t>13</w:t>
                  </w:r>
                </w:p>
              </w:tc>
              <w:tc>
                <w:tcPr>
                  <w:tcW w:w="2801" w:type="pct"/>
                  <w:tcBorders>
                    <w:tl2br w:val="nil"/>
                    <w:tr2bl w:val="nil"/>
                  </w:tcBorders>
                  <w:vAlign w:val="center"/>
                </w:tcPr>
                <w:p w14:paraId="1330DBFE">
                  <w:pPr>
                    <w:pStyle w:val="16"/>
                    <w:rPr>
                      <w:color w:val="auto"/>
                    </w:rPr>
                  </w:pPr>
                  <w:r>
                    <w:rPr>
                      <w:color w:val="auto"/>
                    </w:rPr>
                    <w:t>第二十二条 禁止新建、扩建不符合国家石化、现代煤化工等产业布局规划的项目。</w:t>
                  </w:r>
                  <w:r>
                    <w:rPr>
                      <w:rFonts w:hint="eastAsia"/>
                      <w:color w:val="auto"/>
                    </w:rPr>
                    <w:t>（</w:t>
                  </w:r>
                  <w:r>
                    <w:rPr>
                      <w:color w:val="auto"/>
                    </w:rPr>
                    <w:t>一</w:t>
                  </w:r>
                  <w:r>
                    <w:rPr>
                      <w:rFonts w:hint="eastAsia"/>
                      <w:color w:val="auto"/>
                    </w:rPr>
                    <w:t>）</w:t>
                  </w:r>
                  <w:r>
                    <w:rPr>
                      <w:color w:val="auto"/>
                    </w:rPr>
                    <w:t>严格控制新增炼油项目未列入《石化产业规划布局方案</w:t>
                  </w:r>
                  <w:r>
                    <w:rPr>
                      <w:rFonts w:hint="eastAsia"/>
                      <w:color w:val="auto"/>
                    </w:rPr>
                    <w:t>（</w:t>
                  </w:r>
                  <w:r>
                    <w:rPr>
                      <w:color w:val="auto"/>
                    </w:rPr>
                    <w:t>修订版</w:t>
                  </w:r>
                  <w:r>
                    <w:rPr>
                      <w:rFonts w:hint="eastAsia"/>
                      <w:color w:val="auto"/>
                    </w:rPr>
                    <w:t>）</w:t>
                  </w:r>
                  <w:r>
                    <w:rPr>
                      <w:color w:val="auto"/>
                    </w:rPr>
                    <w:t>》的新增炼油产能一律不得建设。</w:t>
                  </w:r>
                  <w:r>
                    <w:rPr>
                      <w:rFonts w:hint="eastAsia"/>
                      <w:color w:val="auto"/>
                    </w:rPr>
                    <w:t>（</w:t>
                  </w:r>
                  <w:r>
                    <w:rPr>
                      <w:color w:val="auto"/>
                    </w:rPr>
                    <w:t>二</w:t>
                  </w:r>
                  <w:r>
                    <w:rPr>
                      <w:rFonts w:hint="eastAsia"/>
                      <w:color w:val="auto"/>
                    </w:rPr>
                    <w:t>）</w:t>
                  </w:r>
                  <w:r>
                    <w:rPr>
                      <w:color w:val="auto"/>
                    </w:rPr>
                    <w:t>新建煤制烯烃、煤制芳烃项目必须列入《现代煤化工产业创新发展布局方案》，必须符合《现代煤化工建设项目环境准入条件</w:t>
                  </w:r>
                  <w:r>
                    <w:rPr>
                      <w:rFonts w:hint="eastAsia"/>
                      <w:color w:val="auto"/>
                    </w:rPr>
                    <w:t>（</w:t>
                  </w:r>
                  <w:r>
                    <w:rPr>
                      <w:color w:val="auto"/>
                    </w:rPr>
                    <w:t>试行</w:t>
                  </w:r>
                  <w:r>
                    <w:rPr>
                      <w:rFonts w:hint="eastAsia"/>
                      <w:color w:val="auto"/>
                    </w:rPr>
                    <w:t>）</w:t>
                  </w:r>
                  <w:r>
                    <w:rPr>
                      <w:color w:val="auto"/>
                    </w:rPr>
                    <w:t>》要求</w:t>
                  </w:r>
                  <w:r>
                    <w:rPr>
                      <w:rFonts w:hint="eastAsia"/>
                      <w:color w:val="auto"/>
                    </w:rPr>
                    <w:t>。</w:t>
                  </w:r>
                </w:p>
              </w:tc>
              <w:tc>
                <w:tcPr>
                  <w:tcW w:w="1518" w:type="pct"/>
                  <w:tcBorders>
                    <w:tl2br w:val="nil"/>
                    <w:tr2bl w:val="nil"/>
                  </w:tcBorders>
                  <w:vAlign w:val="center"/>
                </w:tcPr>
                <w:p w14:paraId="547462DC">
                  <w:pPr>
                    <w:pStyle w:val="16"/>
                    <w:rPr>
                      <w:color w:val="auto"/>
                    </w:rPr>
                  </w:pPr>
                  <w:r>
                    <w:rPr>
                      <w:color w:val="auto"/>
                    </w:rPr>
                    <w:t>本项目不属于新建、扩建不符合国家石化、现代煤化工等产业布局规划的项目</w:t>
                  </w:r>
                  <w:r>
                    <w:rPr>
                      <w:rFonts w:hint="eastAsia"/>
                      <w:color w:val="auto"/>
                    </w:rPr>
                    <w:t>。</w:t>
                  </w:r>
                </w:p>
                <w:p w14:paraId="1001659F">
                  <w:pPr>
                    <w:pStyle w:val="16"/>
                    <w:rPr>
                      <w:color w:val="auto"/>
                    </w:rPr>
                  </w:pPr>
                </w:p>
              </w:tc>
              <w:tc>
                <w:tcPr>
                  <w:tcW w:w="405" w:type="pct"/>
                  <w:tcBorders>
                    <w:tl2br w:val="nil"/>
                    <w:tr2bl w:val="nil"/>
                  </w:tcBorders>
                  <w:vAlign w:val="center"/>
                </w:tcPr>
                <w:p w14:paraId="20A4341E">
                  <w:pPr>
                    <w:pStyle w:val="16"/>
                    <w:rPr>
                      <w:color w:val="auto"/>
                    </w:rPr>
                  </w:pPr>
                  <w:r>
                    <w:rPr>
                      <w:color w:val="auto"/>
                    </w:rPr>
                    <w:t>符合</w:t>
                  </w:r>
                </w:p>
              </w:tc>
            </w:tr>
            <w:tr w14:paraId="2BC9C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29ABFDC9">
                  <w:pPr>
                    <w:pStyle w:val="16"/>
                    <w:rPr>
                      <w:color w:val="auto"/>
                    </w:rPr>
                  </w:pPr>
                  <w:r>
                    <w:rPr>
                      <w:rFonts w:hint="eastAsia"/>
                      <w:color w:val="auto"/>
                    </w:rPr>
                    <w:t>14</w:t>
                  </w:r>
                </w:p>
              </w:tc>
              <w:tc>
                <w:tcPr>
                  <w:tcW w:w="2801" w:type="pct"/>
                  <w:tcBorders>
                    <w:tl2br w:val="nil"/>
                    <w:tr2bl w:val="nil"/>
                  </w:tcBorders>
                  <w:vAlign w:val="center"/>
                </w:tcPr>
                <w:p w14:paraId="4633C1A4">
                  <w:pPr>
                    <w:pStyle w:val="16"/>
                    <w:rPr>
                      <w:color w:val="auto"/>
                    </w:rPr>
                  </w:pPr>
                  <w:r>
                    <w:rPr>
                      <w:color w:val="auto"/>
                    </w:rPr>
                    <w:t>第二十三条 禁止新建、扩建法律法规和相关政策明令禁止的落后产能项目。对《产业结构调整指导目录》中淘汰类项目，禁止投资</w:t>
                  </w:r>
                  <w:r>
                    <w:rPr>
                      <w:rFonts w:hint="eastAsia"/>
                      <w:color w:val="auto"/>
                    </w:rPr>
                    <w:t>；</w:t>
                  </w:r>
                  <w:r>
                    <w:rPr>
                      <w:color w:val="auto"/>
                    </w:rPr>
                    <w:t>限制类的新建项目，禁止投资，对属于限制类的现有生产能力，允许企业在一定期限内采取措施改造升级</w:t>
                  </w:r>
                </w:p>
              </w:tc>
              <w:tc>
                <w:tcPr>
                  <w:tcW w:w="1518" w:type="pct"/>
                  <w:tcBorders>
                    <w:tl2br w:val="nil"/>
                    <w:tr2bl w:val="nil"/>
                  </w:tcBorders>
                  <w:vAlign w:val="center"/>
                </w:tcPr>
                <w:p w14:paraId="4A987E34">
                  <w:pPr>
                    <w:pStyle w:val="16"/>
                    <w:rPr>
                      <w:color w:val="auto"/>
                    </w:rPr>
                  </w:pPr>
                  <w:r>
                    <w:rPr>
                      <w:color w:val="auto"/>
                    </w:rPr>
                    <w:t>本项目属于《产业结构调整指导目录》中鼓励类项</w:t>
                  </w:r>
                  <w:r>
                    <w:rPr>
                      <w:rFonts w:hint="eastAsia"/>
                      <w:color w:val="auto"/>
                    </w:rPr>
                    <w:t>目。</w:t>
                  </w:r>
                </w:p>
              </w:tc>
              <w:tc>
                <w:tcPr>
                  <w:tcW w:w="405" w:type="pct"/>
                  <w:tcBorders>
                    <w:tl2br w:val="nil"/>
                    <w:tr2bl w:val="nil"/>
                  </w:tcBorders>
                  <w:vAlign w:val="center"/>
                </w:tcPr>
                <w:p w14:paraId="572E719F">
                  <w:pPr>
                    <w:pStyle w:val="16"/>
                    <w:rPr>
                      <w:color w:val="auto"/>
                    </w:rPr>
                  </w:pPr>
                  <w:r>
                    <w:rPr>
                      <w:color w:val="auto"/>
                    </w:rPr>
                    <w:t>符合</w:t>
                  </w:r>
                </w:p>
              </w:tc>
            </w:tr>
            <w:tr w14:paraId="18AF72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77E576A3">
                  <w:pPr>
                    <w:pStyle w:val="16"/>
                    <w:rPr>
                      <w:color w:val="auto"/>
                    </w:rPr>
                  </w:pPr>
                  <w:r>
                    <w:rPr>
                      <w:rFonts w:hint="eastAsia"/>
                      <w:color w:val="auto"/>
                    </w:rPr>
                    <w:t>15</w:t>
                  </w:r>
                </w:p>
              </w:tc>
              <w:tc>
                <w:tcPr>
                  <w:tcW w:w="2801" w:type="pct"/>
                  <w:tcBorders>
                    <w:tl2br w:val="nil"/>
                    <w:tr2bl w:val="nil"/>
                  </w:tcBorders>
                  <w:vAlign w:val="center"/>
                </w:tcPr>
                <w:p w14:paraId="39053BE8">
                  <w:pPr>
                    <w:pStyle w:val="16"/>
                    <w:rPr>
                      <w:color w:val="auto"/>
                    </w:rPr>
                  </w:pPr>
                  <w:r>
                    <w:rPr>
                      <w:color w:val="auto"/>
                    </w:rPr>
                    <w:t>第二十四条 禁止新建、扩建不符合国家产能置换要求的严重过剩产能行业的项目。对于不符合国家产能置换要求的严重过剩产能行业，不得以其他任何名义、任何方式备案新增产能项目。</w:t>
                  </w:r>
                </w:p>
              </w:tc>
              <w:tc>
                <w:tcPr>
                  <w:tcW w:w="1518" w:type="pct"/>
                  <w:tcBorders>
                    <w:tl2br w:val="nil"/>
                    <w:tr2bl w:val="nil"/>
                  </w:tcBorders>
                  <w:vAlign w:val="center"/>
                </w:tcPr>
                <w:p w14:paraId="18D81451">
                  <w:pPr>
                    <w:pStyle w:val="16"/>
                    <w:rPr>
                      <w:color w:val="auto"/>
                    </w:rPr>
                  </w:pPr>
                  <w:r>
                    <w:rPr>
                      <w:color w:val="auto"/>
                    </w:rPr>
                    <w:t>本项目属于《产业结构调整指导目录》中鼓励类项</w:t>
                  </w:r>
                  <w:r>
                    <w:rPr>
                      <w:rFonts w:hint="eastAsia"/>
                      <w:color w:val="auto"/>
                    </w:rPr>
                    <w:t>目。</w:t>
                  </w:r>
                </w:p>
              </w:tc>
              <w:tc>
                <w:tcPr>
                  <w:tcW w:w="405" w:type="pct"/>
                  <w:tcBorders>
                    <w:tl2br w:val="nil"/>
                    <w:tr2bl w:val="nil"/>
                  </w:tcBorders>
                  <w:vAlign w:val="center"/>
                </w:tcPr>
                <w:p w14:paraId="34902385">
                  <w:pPr>
                    <w:pStyle w:val="16"/>
                    <w:rPr>
                      <w:color w:val="auto"/>
                    </w:rPr>
                  </w:pPr>
                  <w:r>
                    <w:rPr>
                      <w:color w:val="auto"/>
                    </w:rPr>
                    <w:t>符合</w:t>
                  </w:r>
                </w:p>
              </w:tc>
            </w:tr>
            <w:tr w14:paraId="3C1C6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1DD0C8AC">
                  <w:pPr>
                    <w:pStyle w:val="16"/>
                    <w:rPr>
                      <w:color w:val="auto"/>
                    </w:rPr>
                  </w:pPr>
                  <w:r>
                    <w:rPr>
                      <w:rFonts w:hint="eastAsia"/>
                      <w:color w:val="auto"/>
                    </w:rPr>
                    <w:t>16</w:t>
                  </w:r>
                </w:p>
              </w:tc>
              <w:tc>
                <w:tcPr>
                  <w:tcW w:w="2801" w:type="pct"/>
                  <w:tcBorders>
                    <w:tl2br w:val="nil"/>
                    <w:tr2bl w:val="nil"/>
                  </w:tcBorders>
                  <w:vAlign w:val="center"/>
                </w:tcPr>
                <w:p w14:paraId="6DAF416D">
                  <w:pPr>
                    <w:pStyle w:val="16"/>
                    <w:rPr>
                      <w:color w:val="auto"/>
                    </w:rPr>
                  </w:pPr>
                  <w:r>
                    <w:rPr>
                      <w:color w:val="auto"/>
                    </w:rPr>
                    <w:t>第二十五条 禁止建设以下燃油汽车投资项目</w:t>
                  </w:r>
                  <w:r>
                    <w:rPr>
                      <w:rFonts w:hint="eastAsia"/>
                      <w:color w:val="auto"/>
                    </w:rPr>
                    <w:t>（</w:t>
                  </w:r>
                  <w:r>
                    <w:rPr>
                      <w:color w:val="auto"/>
                    </w:rPr>
                    <w:t>不在中国境内销售产品的投资项目除外</w:t>
                  </w:r>
                  <w:r>
                    <w:rPr>
                      <w:rFonts w:hint="eastAsia"/>
                      <w:color w:val="auto"/>
                    </w:rPr>
                    <w:t>）：（</w:t>
                  </w:r>
                  <w:r>
                    <w:rPr>
                      <w:color w:val="auto"/>
                    </w:rPr>
                    <w:t>一</w:t>
                  </w:r>
                  <w:r>
                    <w:rPr>
                      <w:rFonts w:hint="eastAsia"/>
                      <w:color w:val="auto"/>
                    </w:rPr>
                    <w:t>）</w:t>
                  </w:r>
                  <w:r>
                    <w:rPr>
                      <w:color w:val="auto"/>
                    </w:rPr>
                    <w:t>新建独立燃油汽车企业</w:t>
                  </w:r>
                  <w:r>
                    <w:rPr>
                      <w:rFonts w:hint="eastAsia"/>
                      <w:color w:val="auto"/>
                    </w:rPr>
                    <w:t>；（</w:t>
                  </w:r>
                  <w:r>
                    <w:rPr>
                      <w:color w:val="auto"/>
                    </w:rPr>
                    <w:t>二</w:t>
                  </w:r>
                  <w:r>
                    <w:rPr>
                      <w:rFonts w:hint="eastAsia"/>
                      <w:color w:val="auto"/>
                    </w:rPr>
                    <w:t>）</w:t>
                  </w:r>
                  <w:r>
                    <w:rPr>
                      <w:color w:val="auto"/>
                    </w:rPr>
                    <w:t>现有汽车企业跨乘用车、商用车类别建设燃油汽车生产能力</w:t>
                  </w:r>
                  <w:r>
                    <w:rPr>
                      <w:rFonts w:hint="eastAsia"/>
                      <w:color w:val="auto"/>
                    </w:rPr>
                    <w:t>；（</w:t>
                  </w:r>
                  <w:r>
                    <w:rPr>
                      <w:color w:val="auto"/>
                    </w:rPr>
                    <w:t>三</w:t>
                  </w:r>
                  <w:r>
                    <w:rPr>
                      <w:rFonts w:hint="eastAsia"/>
                      <w:color w:val="auto"/>
                    </w:rPr>
                    <w:t>）</w:t>
                  </w:r>
                  <w:r>
                    <w:rPr>
                      <w:color w:val="auto"/>
                    </w:rPr>
                    <w:t>外省现有燃油汽车企业整体搬迁至本省</w:t>
                  </w:r>
                  <w:r>
                    <w:rPr>
                      <w:rFonts w:hint="eastAsia"/>
                      <w:color w:val="auto"/>
                    </w:rPr>
                    <w:t>（</w:t>
                  </w:r>
                  <w:r>
                    <w:rPr>
                      <w:color w:val="auto"/>
                    </w:rPr>
                    <w:t>列入国家级区域发展规划或不改变企业股权结构的项目除外</w:t>
                  </w:r>
                  <w:r>
                    <w:rPr>
                      <w:rFonts w:hint="eastAsia"/>
                      <w:color w:val="auto"/>
                    </w:rPr>
                    <w:t>）；（</w:t>
                  </w:r>
                  <w:r>
                    <w:rPr>
                      <w:color w:val="auto"/>
                    </w:rPr>
                    <w:t>四</w:t>
                  </w:r>
                  <w:r>
                    <w:rPr>
                      <w:rFonts w:hint="eastAsia"/>
                      <w:color w:val="auto"/>
                    </w:rPr>
                    <w:t>）</w:t>
                  </w:r>
                  <w:r>
                    <w:rPr>
                      <w:color w:val="auto"/>
                    </w:rPr>
                    <w:t>对行业管理部门特别公示的燃油汽车企业进行投资</w:t>
                  </w:r>
                  <w:r>
                    <w:rPr>
                      <w:rFonts w:hint="eastAsia"/>
                      <w:color w:val="auto"/>
                    </w:rPr>
                    <w:t>（</w:t>
                  </w:r>
                  <w:r>
                    <w:rPr>
                      <w:color w:val="auto"/>
                    </w:rPr>
                    <w:t>企业原有股东投资或将该企业转为非独立法人的投资项目除外</w:t>
                  </w:r>
                  <w:r>
                    <w:rPr>
                      <w:rFonts w:hint="eastAsia"/>
                      <w:color w:val="auto"/>
                    </w:rPr>
                    <w:t>）</w:t>
                  </w:r>
                  <w:r>
                    <w:rPr>
                      <w:color w:val="auto"/>
                    </w:rPr>
                    <w:t>。</w:t>
                  </w:r>
                </w:p>
              </w:tc>
              <w:tc>
                <w:tcPr>
                  <w:tcW w:w="1518" w:type="pct"/>
                  <w:tcBorders>
                    <w:tl2br w:val="nil"/>
                    <w:tr2bl w:val="nil"/>
                  </w:tcBorders>
                  <w:vAlign w:val="center"/>
                </w:tcPr>
                <w:p w14:paraId="776DF5B8">
                  <w:pPr>
                    <w:pStyle w:val="16"/>
                    <w:rPr>
                      <w:color w:val="auto"/>
                    </w:rPr>
                  </w:pPr>
                  <w:r>
                    <w:rPr>
                      <w:color w:val="auto"/>
                    </w:rPr>
                    <w:t>本项目不属于燃油汽车投资项目</w:t>
                  </w:r>
                  <w:r>
                    <w:rPr>
                      <w:rFonts w:hint="eastAsia"/>
                      <w:color w:val="auto"/>
                    </w:rPr>
                    <w:t>。</w:t>
                  </w:r>
                </w:p>
              </w:tc>
              <w:tc>
                <w:tcPr>
                  <w:tcW w:w="405" w:type="pct"/>
                  <w:tcBorders>
                    <w:tl2br w:val="nil"/>
                    <w:tr2bl w:val="nil"/>
                  </w:tcBorders>
                  <w:vAlign w:val="center"/>
                </w:tcPr>
                <w:p w14:paraId="50788F40">
                  <w:pPr>
                    <w:pStyle w:val="16"/>
                    <w:rPr>
                      <w:color w:val="auto"/>
                    </w:rPr>
                  </w:pPr>
                  <w:r>
                    <w:rPr>
                      <w:color w:val="auto"/>
                    </w:rPr>
                    <w:t>符合</w:t>
                  </w:r>
                </w:p>
              </w:tc>
            </w:tr>
            <w:tr w14:paraId="7D557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74" w:type="pct"/>
                  <w:tcBorders>
                    <w:tl2br w:val="nil"/>
                    <w:tr2bl w:val="nil"/>
                  </w:tcBorders>
                  <w:vAlign w:val="center"/>
                </w:tcPr>
                <w:p w14:paraId="292A0D2A">
                  <w:pPr>
                    <w:pStyle w:val="16"/>
                    <w:rPr>
                      <w:color w:val="auto"/>
                    </w:rPr>
                  </w:pPr>
                  <w:r>
                    <w:rPr>
                      <w:rFonts w:hint="eastAsia"/>
                      <w:color w:val="auto"/>
                    </w:rPr>
                    <w:t>17</w:t>
                  </w:r>
                </w:p>
              </w:tc>
              <w:tc>
                <w:tcPr>
                  <w:tcW w:w="2801" w:type="pct"/>
                  <w:tcBorders>
                    <w:tl2br w:val="nil"/>
                    <w:tr2bl w:val="nil"/>
                  </w:tcBorders>
                  <w:vAlign w:val="center"/>
                </w:tcPr>
                <w:p w14:paraId="4D47DCBF">
                  <w:pPr>
                    <w:pStyle w:val="16"/>
                    <w:rPr>
                      <w:color w:val="auto"/>
                    </w:rPr>
                  </w:pPr>
                  <w:r>
                    <w:rPr>
                      <w:color w:val="auto"/>
                    </w:rPr>
                    <w:t>第二十六条 禁止新建、扩建不符合要求的高耗能、高排放、低水平项目</w:t>
                  </w:r>
                </w:p>
              </w:tc>
              <w:tc>
                <w:tcPr>
                  <w:tcW w:w="1518" w:type="pct"/>
                  <w:tcBorders>
                    <w:tl2br w:val="nil"/>
                    <w:tr2bl w:val="nil"/>
                  </w:tcBorders>
                  <w:vAlign w:val="center"/>
                </w:tcPr>
                <w:p w14:paraId="58EC7915">
                  <w:pPr>
                    <w:pStyle w:val="16"/>
                    <w:rPr>
                      <w:color w:val="auto"/>
                    </w:rPr>
                  </w:pPr>
                  <w:r>
                    <w:rPr>
                      <w:color w:val="auto"/>
                    </w:rPr>
                    <w:t>本项目不属于新建、扩建不符合要求的高耗能、高排放、低水平项目</w:t>
                  </w:r>
                  <w:r>
                    <w:rPr>
                      <w:rFonts w:hint="eastAsia"/>
                      <w:color w:val="auto"/>
                    </w:rPr>
                    <w:t>。</w:t>
                  </w:r>
                </w:p>
              </w:tc>
              <w:tc>
                <w:tcPr>
                  <w:tcW w:w="405" w:type="pct"/>
                  <w:tcBorders>
                    <w:tl2br w:val="nil"/>
                    <w:tr2bl w:val="nil"/>
                  </w:tcBorders>
                  <w:vAlign w:val="center"/>
                </w:tcPr>
                <w:p w14:paraId="02EDF17A">
                  <w:pPr>
                    <w:pStyle w:val="16"/>
                    <w:rPr>
                      <w:color w:val="auto"/>
                    </w:rPr>
                  </w:pPr>
                  <w:r>
                    <w:rPr>
                      <w:color w:val="auto"/>
                    </w:rPr>
                    <w:t>符合</w:t>
                  </w:r>
                </w:p>
              </w:tc>
            </w:tr>
          </w:tbl>
          <w:p w14:paraId="52AD8B78">
            <w:pPr>
              <w:ind w:firstLine="480"/>
              <w:rPr>
                <w:color w:val="auto"/>
              </w:rPr>
            </w:pPr>
          </w:p>
        </w:tc>
      </w:tr>
      <w:tr w14:paraId="29FA3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133" w:type="dxa"/>
            <w:tcMar>
              <w:top w:w="16" w:type="dxa"/>
              <w:left w:w="16" w:type="dxa"/>
              <w:right w:w="16" w:type="dxa"/>
            </w:tcMar>
            <w:vAlign w:val="center"/>
          </w:tcPr>
          <w:p w14:paraId="4745FE34">
            <w:pPr>
              <w:ind w:firstLine="0" w:firstLineChars="0"/>
              <w:rPr>
                <w:color w:val="auto"/>
              </w:rPr>
            </w:pPr>
            <w:r>
              <w:rPr>
                <w:color w:val="auto"/>
              </w:rPr>
              <w:t>其他符合性分析</w:t>
            </w:r>
          </w:p>
        </w:tc>
        <w:tc>
          <w:tcPr>
            <w:tcW w:w="8611" w:type="dxa"/>
            <w:gridSpan w:val="4"/>
            <w:tcMar>
              <w:top w:w="16" w:type="dxa"/>
              <w:left w:w="16" w:type="dxa"/>
              <w:right w:w="16" w:type="dxa"/>
            </w:tcMar>
            <w:vAlign w:val="center"/>
          </w:tcPr>
          <w:p w14:paraId="5C5128CA">
            <w:pPr>
              <w:ind w:firstLine="480"/>
              <w:rPr>
                <w:b/>
                <w:bCs/>
                <w:color w:val="auto"/>
              </w:rPr>
            </w:pPr>
            <w:r>
              <w:rPr>
                <w:rFonts w:hint="eastAsia"/>
                <w:color w:val="auto"/>
              </w:rPr>
              <w:t>4</w:t>
            </w:r>
            <w:r>
              <w:rPr>
                <w:rFonts w:hint="eastAsia"/>
                <w:b/>
                <w:bCs/>
                <w:color w:val="auto"/>
              </w:rPr>
              <w:t>、与《国家重点生态功能区》符合性分析</w:t>
            </w:r>
          </w:p>
          <w:p w14:paraId="3096C126">
            <w:pPr>
              <w:ind w:firstLine="480"/>
              <w:rPr>
                <w:color w:val="auto"/>
              </w:rPr>
            </w:pPr>
            <w:r>
              <w:rPr>
                <w:rFonts w:hint="eastAsia"/>
                <w:color w:val="auto"/>
              </w:rPr>
              <w:t>拟建项目位于巴中市通江县铁佛镇，根据《国家重点生态功能区》（2013），该项目位于秦巴生物多样性生态功能区。其所处生态功能区情况详见表1-6。本项目</w:t>
            </w:r>
            <w:r>
              <w:rPr>
                <w:color w:val="auto"/>
              </w:rPr>
              <w:t>工程的开发任务为：</w:t>
            </w:r>
            <w:r>
              <w:rPr>
                <w:rFonts w:hint="eastAsia"/>
                <w:color w:val="auto"/>
              </w:rPr>
              <w:t>农田灌溉、</w:t>
            </w:r>
            <w:r>
              <w:rPr>
                <w:color w:val="auto"/>
              </w:rPr>
              <w:t>场镇及农村生活供水。</w:t>
            </w:r>
            <w:r>
              <w:rPr>
                <w:rFonts w:hint="eastAsia"/>
                <w:color w:val="auto"/>
              </w:rPr>
              <w:t>本项目</w:t>
            </w:r>
            <w:r>
              <w:rPr>
                <w:color w:val="auto"/>
              </w:rPr>
              <w:t>建设不会导致区域生态功能继续退化，工程建设对生态环境产生的不利影响均可以通过相应的环境保护措施得到减免或消除。因此，</w:t>
            </w:r>
            <w:r>
              <w:rPr>
                <w:rFonts w:hint="eastAsia"/>
                <w:color w:val="auto"/>
              </w:rPr>
              <w:t>本项目</w:t>
            </w:r>
            <w:r>
              <w:rPr>
                <w:color w:val="auto"/>
              </w:rPr>
              <w:t>建设与《</w:t>
            </w:r>
            <w:r>
              <w:rPr>
                <w:rFonts w:hint="eastAsia"/>
                <w:color w:val="auto"/>
              </w:rPr>
              <w:t>国家重点生态功能区</w:t>
            </w:r>
            <w:r>
              <w:rPr>
                <w:color w:val="auto"/>
              </w:rPr>
              <w:t>》基本符合。</w:t>
            </w:r>
          </w:p>
          <w:p w14:paraId="227C9AA2">
            <w:pPr>
              <w:pStyle w:val="17"/>
              <w:rPr>
                <w:rFonts w:hint="default"/>
                <w:color w:val="auto"/>
              </w:rPr>
            </w:pPr>
            <w:r>
              <w:rPr>
                <w:color w:val="auto"/>
              </w:rPr>
              <w:t>表1-6 拟建项目所处功能区划一览表</w:t>
            </w:r>
          </w:p>
          <w:tbl>
            <w:tblPr>
              <w:tblStyle w:val="12"/>
              <w:tblW w:w="5000"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033"/>
              <w:gridCol w:w="4008"/>
              <w:gridCol w:w="2146"/>
            </w:tblGrid>
            <w:tr w14:paraId="79134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pct"/>
                  <w:tcBorders>
                    <w:tl2br w:val="nil"/>
                    <w:tr2bl w:val="nil"/>
                  </w:tcBorders>
                  <w:vAlign w:val="center"/>
                </w:tcPr>
                <w:p w14:paraId="21450BCD">
                  <w:pPr>
                    <w:pStyle w:val="16"/>
                    <w:jc w:val="center"/>
                    <w:rPr>
                      <w:color w:val="auto"/>
                    </w:rPr>
                  </w:pPr>
                  <w:r>
                    <w:rPr>
                      <w:rFonts w:hint="eastAsia"/>
                      <w:color w:val="auto"/>
                    </w:rPr>
                    <w:t>区域</w:t>
                  </w:r>
                </w:p>
              </w:tc>
              <w:tc>
                <w:tcPr>
                  <w:tcW w:w="602" w:type="pct"/>
                  <w:tcBorders>
                    <w:tl2br w:val="nil"/>
                    <w:tr2bl w:val="nil"/>
                  </w:tcBorders>
                  <w:vAlign w:val="center"/>
                </w:tcPr>
                <w:p w14:paraId="70E26DDE">
                  <w:pPr>
                    <w:pStyle w:val="16"/>
                    <w:jc w:val="center"/>
                    <w:rPr>
                      <w:color w:val="auto"/>
                    </w:rPr>
                  </w:pPr>
                  <w:r>
                    <w:rPr>
                      <w:rFonts w:hint="eastAsia"/>
                      <w:color w:val="auto"/>
                    </w:rPr>
                    <w:t>类型</w:t>
                  </w:r>
                </w:p>
              </w:tc>
              <w:tc>
                <w:tcPr>
                  <w:tcW w:w="2335" w:type="pct"/>
                  <w:tcBorders>
                    <w:tl2br w:val="nil"/>
                    <w:tr2bl w:val="nil"/>
                  </w:tcBorders>
                  <w:vAlign w:val="center"/>
                </w:tcPr>
                <w:p w14:paraId="399DD8E8">
                  <w:pPr>
                    <w:pStyle w:val="16"/>
                    <w:jc w:val="center"/>
                    <w:rPr>
                      <w:color w:val="auto"/>
                    </w:rPr>
                  </w:pPr>
                  <w:r>
                    <w:rPr>
                      <w:rFonts w:hint="eastAsia"/>
                      <w:color w:val="auto"/>
                    </w:rPr>
                    <w:t>综合评价</w:t>
                  </w:r>
                </w:p>
              </w:tc>
              <w:tc>
                <w:tcPr>
                  <w:tcW w:w="1250" w:type="pct"/>
                  <w:tcBorders>
                    <w:tl2br w:val="nil"/>
                    <w:tr2bl w:val="nil"/>
                  </w:tcBorders>
                  <w:vAlign w:val="center"/>
                </w:tcPr>
                <w:p w14:paraId="77970E79">
                  <w:pPr>
                    <w:pStyle w:val="16"/>
                    <w:jc w:val="center"/>
                    <w:rPr>
                      <w:color w:val="auto"/>
                    </w:rPr>
                  </w:pPr>
                  <w:r>
                    <w:rPr>
                      <w:rFonts w:hint="eastAsia"/>
                      <w:color w:val="auto"/>
                    </w:rPr>
                    <w:t>发展方向</w:t>
                  </w:r>
                </w:p>
              </w:tc>
            </w:tr>
            <w:tr w14:paraId="34F68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pct"/>
                  <w:tcBorders>
                    <w:tl2br w:val="nil"/>
                    <w:tr2bl w:val="nil"/>
                  </w:tcBorders>
                  <w:vAlign w:val="center"/>
                </w:tcPr>
                <w:p w14:paraId="72DC9D5D">
                  <w:pPr>
                    <w:pStyle w:val="16"/>
                    <w:rPr>
                      <w:color w:val="auto"/>
                    </w:rPr>
                  </w:pPr>
                  <w:r>
                    <w:rPr>
                      <w:rFonts w:hint="eastAsia"/>
                      <w:color w:val="auto"/>
                    </w:rPr>
                    <w:t>秦巴生物多样性生态功能区</w:t>
                  </w:r>
                </w:p>
              </w:tc>
              <w:tc>
                <w:tcPr>
                  <w:tcW w:w="602" w:type="pct"/>
                  <w:tcBorders>
                    <w:tl2br w:val="nil"/>
                    <w:tr2bl w:val="nil"/>
                  </w:tcBorders>
                  <w:vAlign w:val="center"/>
                </w:tcPr>
                <w:p w14:paraId="148DED9A">
                  <w:pPr>
                    <w:pStyle w:val="16"/>
                    <w:rPr>
                      <w:color w:val="auto"/>
                    </w:rPr>
                  </w:pPr>
                  <w:r>
                    <w:rPr>
                      <w:rFonts w:hint="eastAsia"/>
                      <w:color w:val="auto"/>
                    </w:rPr>
                    <w:t>生物多样性维护</w:t>
                  </w:r>
                </w:p>
              </w:tc>
              <w:tc>
                <w:tcPr>
                  <w:tcW w:w="2335" w:type="pct"/>
                  <w:tcBorders>
                    <w:tl2br w:val="nil"/>
                    <w:tr2bl w:val="nil"/>
                  </w:tcBorders>
                  <w:vAlign w:val="center"/>
                </w:tcPr>
                <w:p w14:paraId="23E0E751">
                  <w:pPr>
                    <w:pStyle w:val="16"/>
                    <w:rPr>
                      <w:color w:val="auto"/>
                    </w:rPr>
                  </w:pPr>
                  <w:r>
                    <w:rPr>
                      <w:rFonts w:hint="eastAsia"/>
                      <w:color w:val="auto"/>
                    </w:rPr>
                    <w:t>包括秦岭、大巴山、神农架等亚热带北部和亚热带－暖温带过渡的地带，生物多样性丰富，是许多野生动物的分布区。目前水土流失和地质灾害问题突出，生物多样性受到威胁</w:t>
                  </w:r>
                </w:p>
              </w:tc>
              <w:tc>
                <w:tcPr>
                  <w:tcW w:w="1250" w:type="pct"/>
                  <w:tcBorders>
                    <w:tl2br w:val="nil"/>
                    <w:tr2bl w:val="nil"/>
                  </w:tcBorders>
                  <w:vAlign w:val="center"/>
                </w:tcPr>
                <w:p w14:paraId="0616D503">
                  <w:pPr>
                    <w:pStyle w:val="16"/>
                    <w:rPr>
                      <w:color w:val="auto"/>
                    </w:rPr>
                  </w:pPr>
                  <w:r>
                    <w:rPr>
                      <w:rFonts w:hint="eastAsia"/>
                      <w:color w:val="auto"/>
                    </w:rPr>
                    <w:t>减少林木采伐，恢复山地植被，保护野生物种。</w:t>
                  </w:r>
                </w:p>
              </w:tc>
            </w:tr>
          </w:tbl>
          <w:p w14:paraId="7156D05D">
            <w:pPr>
              <w:ind w:firstLine="480"/>
              <w:rPr>
                <w:color w:val="auto"/>
              </w:rPr>
            </w:pPr>
          </w:p>
          <w:p w14:paraId="2A8460D2">
            <w:pPr>
              <w:ind w:firstLine="0" w:firstLineChars="0"/>
              <w:rPr>
                <w:color w:val="auto"/>
              </w:rPr>
            </w:pPr>
            <w:r>
              <w:rPr>
                <w:rFonts w:eastAsia="黑体"/>
                <w:b/>
                <w:color w:val="auto"/>
                <w:kern w:val="0"/>
              </w:rPr>
              <mc:AlternateContent>
                <mc:Choice Requires="wps">
                  <w:drawing>
                    <wp:anchor distT="0" distB="0" distL="114300" distR="114300" simplePos="0" relativeHeight="251661312" behindDoc="0" locked="0" layoutInCell="1" allowOverlap="1">
                      <wp:simplePos x="0" y="0"/>
                      <wp:positionH relativeFrom="column">
                        <wp:posOffset>3091180</wp:posOffset>
                      </wp:positionH>
                      <wp:positionV relativeFrom="paragraph">
                        <wp:posOffset>2538095</wp:posOffset>
                      </wp:positionV>
                      <wp:extent cx="1136015" cy="330835"/>
                      <wp:effectExtent l="43815" t="192405" r="13970" b="10160"/>
                      <wp:wrapNone/>
                      <wp:docPr id="10" name="圆角矩形标注 10"/>
                      <wp:cNvGraphicFramePr/>
                      <a:graphic xmlns:a="http://schemas.openxmlformats.org/drawingml/2006/main">
                        <a:graphicData uri="http://schemas.microsoft.com/office/word/2010/wordprocessingShape">
                          <wps:wsp>
                            <wps:cNvSpPr/>
                            <wps:spPr>
                              <a:xfrm>
                                <a:off x="0" y="0"/>
                                <a:ext cx="1136015" cy="330835"/>
                              </a:xfrm>
                              <a:prstGeom prst="wedgeRoundRectCallout">
                                <a:avLst>
                                  <a:gd name="adj1" fmla="val -51829"/>
                                  <a:gd name="adj2" fmla="val -10404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1626B502">
                                  <w:pPr>
                                    <w:pStyle w:val="16"/>
                                    <w:rPr>
                                      <w:b/>
                                      <w:bCs/>
                                    </w:rPr>
                                  </w:pPr>
                                  <w:r>
                                    <w:rPr>
                                      <w:rFonts w:hint="eastAsia"/>
                                      <w:b/>
                                      <w:bCs/>
                                    </w:rPr>
                                    <w:t>本项目位置</w:t>
                                  </w:r>
                                </w:p>
                              </w:txbxContent>
                            </wps:txbx>
                            <wps:bodyPr upright="1"/>
                          </wps:wsp>
                        </a:graphicData>
                      </a:graphic>
                    </wp:anchor>
                  </w:drawing>
                </mc:Choice>
                <mc:Fallback>
                  <w:pict>
                    <v:shape id="_x0000_s1026" o:spid="_x0000_s1026" o:spt="62" type="#_x0000_t62" style="position:absolute;left:0pt;margin-left:243.4pt;margin-top:199.85pt;height:26.05pt;width:89.45pt;z-index:251661312;mso-width-relative:page;mso-height-relative:page;" fillcolor="#FFFFFF" filled="t" stroked="t" coordsize="21600,21600" o:gfxdata="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z1Pk9oAAAAL&#10;AQAADwAAAAAAAAABACAAAAAiAAAAZHJzL2Rvd25yZXYueG1sUEsBAhQAFAAAAAgAh07iQJkOF9BT&#10;AgAAwAQAAA4AAAAAAAAAAQAgAAAAKQEAAGRycy9lMm9Eb2MueG1sUEsFBgAAAAAGAAYAWQEAAO4F&#10;AAAAAA==&#10;" adj="-395,-11673,14400">
                      <v:fill on="t" focussize="0,0"/>
                      <v:stroke color="#000000" joinstyle="miter"/>
                      <v:imagedata o:title=""/>
                      <o:lock v:ext="edit" aspectratio="f"/>
                      <v:textbox>
                        <w:txbxContent>
                          <w:p w14:paraId="1626B502">
                            <w:pPr>
                              <w:pStyle w:val="16"/>
                              <w:rPr>
                                <w:b/>
                                <w:bCs/>
                              </w:rPr>
                            </w:pPr>
                            <w:r>
                              <w:rPr>
                                <w:rFonts w:hint="eastAsia"/>
                                <w:b/>
                                <w:bCs/>
                              </w:rPr>
                              <w:t>本项目位置</w:t>
                            </w:r>
                          </w:p>
                        </w:txbxContent>
                      </v:textbox>
                    </v:shape>
                  </w:pict>
                </mc:Fallback>
              </mc:AlternateContent>
            </w:r>
            <w:r>
              <w:rPr>
                <w:color w:val="auto"/>
              </w:rPr>
              <w:drawing>
                <wp:inline distT="0" distB="0" distL="114300" distR="114300">
                  <wp:extent cx="5474335" cy="3931920"/>
                  <wp:effectExtent l="0" t="0" r="12065" b="5080"/>
                  <wp:docPr id="1" name="图片 2" descr="说明: C:\Users\Administrator\Desktop\国家重点生态功能区示意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说明: C:\Users\Administrator\Desktop\国家重点生态功能区示意图.jpg"/>
                          <pic:cNvPicPr>
                            <a:picLocks noChangeAspect="1"/>
                          </pic:cNvPicPr>
                        </pic:nvPicPr>
                        <pic:blipFill>
                          <a:blip r:embed="rId13"/>
                          <a:stretch>
                            <a:fillRect/>
                          </a:stretch>
                        </pic:blipFill>
                        <pic:spPr>
                          <a:xfrm>
                            <a:off x="0" y="0"/>
                            <a:ext cx="5474335" cy="3931920"/>
                          </a:xfrm>
                          <a:prstGeom prst="rect">
                            <a:avLst/>
                          </a:prstGeom>
                          <a:noFill/>
                          <a:ln>
                            <a:noFill/>
                          </a:ln>
                        </pic:spPr>
                      </pic:pic>
                    </a:graphicData>
                  </a:graphic>
                </wp:inline>
              </w:drawing>
            </w:r>
          </w:p>
          <w:p w14:paraId="33831475">
            <w:pPr>
              <w:pStyle w:val="17"/>
              <w:rPr>
                <w:rFonts w:hint="default"/>
                <w:color w:val="auto"/>
              </w:rPr>
            </w:pPr>
            <w:r>
              <w:rPr>
                <w:color w:val="auto"/>
              </w:rPr>
              <w:t>图1-1 国家重点生态功能区示意图</w:t>
            </w:r>
          </w:p>
          <w:p w14:paraId="46B4A0E0">
            <w:pPr>
              <w:ind w:firstLine="482"/>
              <w:rPr>
                <w:b/>
                <w:bCs/>
                <w:color w:val="auto"/>
              </w:rPr>
            </w:pPr>
            <w:r>
              <w:rPr>
                <w:rFonts w:hint="eastAsia"/>
                <w:b/>
                <w:bCs/>
                <w:color w:val="auto"/>
              </w:rPr>
              <w:t>5、与《四川省生态功能区划》符合性分析</w:t>
            </w:r>
          </w:p>
          <w:p w14:paraId="1A8C7916">
            <w:pPr>
              <w:ind w:firstLine="480"/>
              <w:rPr>
                <w:color w:val="auto"/>
              </w:rPr>
            </w:pPr>
            <w:r>
              <w:rPr>
                <w:rFonts w:hint="eastAsia"/>
                <w:color w:val="auto"/>
              </w:rPr>
              <w:t>根据《四川省生态功能区划》（2010），该项目位于I四川盆地亚热带湿润气候生态区，其所处生态功能区情况详见表1-7。项目工程会占用一些林地、耕地，对地表植被和野生动物会产生一定不利影响，施工完成后会对临时占地进行植被恢复。本项目建设有利于提高水源涵养功能。因此，本工程与四川省生态功能区划基本符合。</w:t>
            </w:r>
          </w:p>
          <w:p w14:paraId="1A0DEDF4">
            <w:pPr>
              <w:pStyle w:val="17"/>
              <w:rPr>
                <w:rFonts w:hint="default"/>
                <w:color w:val="auto"/>
              </w:rPr>
            </w:pPr>
            <w:r>
              <w:rPr>
                <w:color w:val="auto"/>
              </w:rPr>
              <w:t>表1-7 拟建项目所处功能区划一览表</w:t>
            </w:r>
          </w:p>
          <w:tbl>
            <w:tblPr>
              <w:tblStyle w:val="12"/>
              <w:tblW w:w="5000" w:type="pct"/>
              <w:tblInd w:w="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71"/>
              <w:gridCol w:w="7308"/>
            </w:tblGrid>
            <w:tr w14:paraId="3F698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236E5C85">
                  <w:pPr>
                    <w:pStyle w:val="16"/>
                    <w:jc w:val="center"/>
                    <w:rPr>
                      <w:color w:val="auto"/>
                    </w:rPr>
                  </w:pPr>
                  <w:r>
                    <w:rPr>
                      <w:rFonts w:hint="eastAsia"/>
                      <w:color w:val="auto"/>
                    </w:rPr>
                    <w:t>项目</w:t>
                  </w:r>
                </w:p>
              </w:tc>
              <w:tc>
                <w:tcPr>
                  <w:tcW w:w="7308" w:type="dxa"/>
                  <w:tcBorders>
                    <w:tl2br w:val="nil"/>
                    <w:tr2bl w:val="nil"/>
                  </w:tcBorders>
                </w:tcPr>
                <w:p w14:paraId="5BE01A9A">
                  <w:pPr>
                    <w:pStyle w:val="16"/>
                    <w:jc w:val="center"/>
                    <w:rPr>
                      <w:color w:val="auto"/>
                    </w:rPr>
                  </w:pPr>
                  <w:r>
                    <w:rPr>
                      <w:rFonts w:hint="eastAsia"/>
                      <w:color w:val="auto"/>
                    </w:rPr>
                    <w:t>描述</w:t>
                  </w:r>
                </w:p>
              </w:tc>
            </w:tr>
            <w:tr w14:paraId="5C1C1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4D6BFB90">
                  <w:pPr>
                    <w:pStyle w:val="16"/>
                    <w:rPr>
                      <w:color w:val="auto"/>
                    </w:rPr>
                  </w:pPr>
                  <w:r>
                    <w:rPr>
                      <w:rFonts w:hint="eastAsia"/>
                      <w:color w:val="auto"/>
                    </w:rPr>
                    <w:t>生态区</w:t>
                  </w:r>
                </w:p>
              </w:tc>
              <w:tc>
                <w:tcPr>
                  <w:tcW w:w="7308" w:type="dxa"/>
                  <w:tcBorders>
                    <w:tl2br w:val="nil"/>
                    <w:tr2bl w:val="nil"/>
                  </w:tcBorders>
                  <w:vAlign w:val="center"/>
                </w:tcPr>
                <w:p w14:paraId="429EAB3D">
                  <w:pPr>
                    <w:pStyle w:val="16"/>
                    <w:rPr>
                      <w:color w:val="auto"/>
                    </w:rPr>
                  </w:pPr>
                  <w:r>
                    <w:rPr>
                      <w:rFonts w:hint="eastAsia"/>
                      <w:color w:val="auto"/>
                    </w:rPr>
                    <w:t>I 四川盆地亚热带湿润气候 生态区</w:t>
                  </w:r>
                </w:p>
              </w:tc>
            </w:tr>
            <w:tr w14:paraId="138B7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3D327EF1">
                  <w:pPr>
                    <w:pStyle w:val="16"/>
                    <w:rPr>
                      <w:color w:val="auto"/>
                    </w:rPr>
                  </w:pPr>
                  <w:r>
                    <w:rPr>
                      <w:rFonts w:hint="eastAsia"/>
                      <w:color w:val="auto"/>
                    </w:rPr>
                    <w:t>生态亚区</w:t>
                  </w:r>
                </w:p>
              </w:tc>
              <w:tc>
                <w:tcPr>
                  <w:tcW w:w="7308" w:type="dxa"/>
                  <w:tcBorders>
                    <w:tl2br w:val="nil"/>
                    <w:tr2bl w:val="nil"/>
                  </w:tcBorders>
                  <w:vAlign w:val="center"/>
                </w:tcPr>
                <w:p w14:paraId="553CAB7B">
                  <w:pPr>
                    <w:pStyle w:val="16"/>
                    <w:rPr>
                      <w:color w:val="auto"/>
                    </w:rPr>
                  </w:pPr>
                  <w:r>
                    <w:rPr>
                      <w:rFonts w:hint="eastAsia"/>
                      <w:color w:val="auto"/>
                    </w:rPr>
                    <w:t>Ⅰ-3盆地北秦巴山常绿阔叶-针叶混交林生态亚区</w:t>
                  </w:r>
                </w:p>
              </w:tc>
            </w:tr>
            <w:tr w14:paraId="357518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68373885">
                  <w:pPr>
                    <w:pStyle w:val="16"/>
                    <w:rPr>
                      <w:color w:val="auto"/>
                    </w:rPr>
                  </w:pPr>
                  <w:r>
                    <w:rPr>
                      <w:rFonts w:hint="eastAsia"/>
                      <w:color w:val="auto"/>
                    </w:rPr>
                    <w:t>生态功能区</w:t>
                  </w:r>
                </w:p>
              </w:tc>
              <w:tc>
                <w:tcPr>
                  <w:tcW w:w="7308" w:type="dxa"/>
                  <w:tcBorders>
                    <w:tl2br w:val="nil"/>
                    <w:tr2bl w:val="nil"/>
                  </w:tcBorders>
                  <w:vAlign w:val="center"/>
                </w:tcPr>
                <w:p w14:paraId="29802E18">
                  <w:pPr>
                    <w:pStyle w:val="16"/>
                    <w:rPr>
                      <w:color w:val="auto"/>
                    </w:rPr>
                  </w:pPr>
                  <w:r>
                    <w:rPr>
                      <w:rFonts w:hint="eastAsia"/>
                      <w:color w:val="auto"/>
                    </w:rPr>
                    <w:t>Ⅰ-3-1米仓山水源涵养与生物多样性保护功能区</w:t>
                  </w:r>
                </w:p>
              </w:tc>
            </w:tr>
            <w:tr w14:paraId="38BB2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682C43F1">
                  <w:pPr>
                    <w:pStyle w:val="16"/>
                    <w:rPr>
                      <w:color w:val="auto"/>
                    </w:rPr>
                  </w:pPr>
                  <w:r>
                    <w:rPr>
                      <w:rFonts w:hint="eastAsia"/>
                      <w:color w:val="auto"/>
                    </w:rPr>
                    <w:t>所在区域与面积</w:t>
                  </w:r>
                </w:p>
              </w:tc>
              <w:tc>
                <w:tcPr>
                  <w:tcW w:w="7308" w:type="dxa"/>
                  <w:tcBorders>
                    <w:tl2br w:val="nil"/>
                    <w:tr2bl w:val="nil"/>
                  </w:tcBorders>
                  <w:vAlign w:val="center"/>
                </w:tcPr>
                <w:p w14:paraId="0537621A">
                  <w:pPr>
                    <w:pStyle w:val="16"/>
                    <w:rPr>
                      <w:color w:val="auto"/>
                    </w:rPr>
                  </w:pPr>
                  <w:r>
                    <w:rPr>
                      <w:rFonts w:hint="eastAsia"/>
                      <w:color w:val="auto"/>
                    </w:rPr>
                    <w:t>在四川东北部边缘，涉及广元、巴中市的5个县级行政区。面积0.68万km</w:t>
                  </w:r>
                  <w:r>
                    <w:rPr>
                      <w:rFonts w:hint="eastAsia"/>
                      <w:color w:val="auto"/>
                      <w:vertAlign w:val="superscript"/>
                    </w:rPr>
                    <w:t>2</w:t>
                  </w:r>
                </w:p>
              </w:tc>
            </w:tr>
            <w:tr w14:paraId="50C2C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7E13B6A1">
                  <w:pPr>
                    <w:pStyle w:val="16"/>
                    <w:rPr>
                      <w:color w:val="auto"/>
                    </w:rPr>
                  </w:pPr>
                  <w:r>
                    <w:rPr>
                      <w:rFonts w:hint="eastAsia"/>
                      <w:color w:val="auto"/>
                    </w:rPr>
                    <w:t>主要生态特征</w:t>
                  </w:r>
                </w:p>
              </w:tc>
              <w:tc>
                <w:tcPr>
                  <w:tcW w:w="7308" w:type="dxa"/>
                  <w:tcBorders>
                    <w:tl2br w:val="nil"/>
                    <w:tr2bl w:val="nil"/>
                  </w:tcBorders>
                  <w:vAlign w:val="center"/>
                </w:tcPr>
                <w:p w14:paraId="555248E1">
                  <w:pPr>
                    <w:pStyle w:val="16"/>
                    <w:rPr>
                      <w:color w:val="auto"/>
                    </w:rPr>
                  </w:pPr>
                  <w:r>
                    <w:rPr>
                      <w:rFonts w:hint="eastAsia"/>
                      <w:color w:val="auto"/>
                    </w:rPr>
                    <w:t>中－低山地貌。年均气温13～16℃，≥10℃活动积温5100℃，年均降雨量900～1200毫米。河流主要属嘉陵江水系。森林植被主要为常绿阔叶林、针－阔混交林和亚高山常绿针叶林。生物多样性丰富</w:t>
                  </w:r>
                </w:p>
              </w:tc>
            </w:tr>
            <w:tr w14:paraId="2F116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5C2A93D9">
                  <w:pPr>
                    <w:pStyle w:val="16"/>
                    <w:rPr>
                      <w:color w:val="auto"/>
                    </w:rPr>
                  </w:pPr>
                  <w:r>
                    <w:rPr>
                      <w:rFonts w:hint="eastAsia"/>
                      <w:color w:val="auto"/>
                    </w:rPr>
                    <w:t>主要生态问题</w:t>
                  </w:r>
                </w:p>
              </w:tc>
              <w:tc>
                <w:tcPr>
                  <w:tcW w:w="7308" w:type="dxa"/>
                  <w:tcBorders>
                    <w:tl2br w:val="nil"/>
                    <w:tr2bl w:val="nil"/>
                  </w:tcBorders>
                  <w:vAlign w:val="center"/>
                </w:tcPr>
                <w:p w14:paraId="6876C286">
                  <w:pPr>
                    <w:pStyle w:val="16"/>
                    <w:rPr>
                      <w:color w:val="auto"/>
                    </w:rPr>
                  </w:pPr>
                  <w:r>
                    <w:rPr>
                      <w:rFonts w:hint="eastAsia"/>
                      <w:color w:val="auto"/>
                    </w:rPr>
                    <w:t>多洪灾，滑坡崩塌强烈发育</w:t>
                  </w:r>
                </w:p>
              </w:tc>
            </w:tr>
            <w:tr w14:paraId="47F08E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4ACC5D83">
                  <w:pPr>
                    <w:pStyle w:val="16"/>
                    <w:rPr>
                      <w:color w:val="auto"/>
                    </w:rPr>
                  </w:pPr>
                  <w:r>
                    <w:rPr>
                      <w:rFonts w:hint="eastAsia"/>
                      <w:color w:val="auto"/>
                    </w:rPr>
                    <w:t>生态环境敏感性</w:t>
                  </w:r>
                </w:p>
              </w:tc>
              <w:tc>
                <w:tcPr>
                  <w:tcW w:w="7308" w:type="dxa"/>
                  <w:tcBorders>
                    <w:tl2br w:val="nil"/>
                    <w:tr2bl w:val="nil"/>
                  </w:tcBorders>
                  <w:vAlign w:val="center"/>
                </w:tcPr>
                <w:p w14:paraId="1D2C4F72">
                  <w:pPr>
                    <w:pStyle w:val="16"/>
                    <w:rPr>
                      <w:color w:val="auto"/>
                    </w:rPr>
                  </w:pPr>
                  <w:r>
                    <w:rPr>
                      <w:rFonts w:hint="eastAsia"/>
                      <w:color w:val="auto"/>
                    </w:rPr>
                    <w:t>土壤侵蚀极敏感，野生动物生境极敏感</w:t>
                  </w:r>
                </w:p>
              </w:tc>
            </w:tr>
            <w:tr w14:paraId="241C19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729C4B2A">
                  <w:pPr>
                    <w:pStyle w:val="16"/>
                    <w:rPr>
                      <w:color w:val="auto"/>
                    </w:rPr>
                  </w:pPr>
                  <w:r>
                    <w:rPr>
                      <w:rFonts w:hint="eastAsia"/>
                      <w:color w:val="auto"/>
                    </w:rPr>
                    <w:t>主要生态服务功能</w:t>
                  </w:r>
                </w:p>
              </w:tc>
              <w:tc>
                <w:tcPr>
                  <w:tcW w:w="7308" w:type="dxa"/>
                  <w:tcBorders>
                    <w:tl2br w:val="nil"/>
                    <w:tr2bl w:val="nil"/>
                  </w:tcBorders>
                  <w:vAlign w:val="center"/>
                </w:tcPr>
                <w:p w14:paraId="70FC8F8D">
                  <w:pPr>
                    <w:pStyle w:val="16"/>
                    <w:rPr>
                      <w:color w:val="auto"/>
                    </w:rPr>
                  </w:pPr>
                  <w:r>
                    <w:rPr>
                      <w:rFonts w:hint="eastAsia"/>
                      <w:color w:val="auto"/>
                    </w:rPr>
                    <w:t>水源涵养功能，生物多样性保护功能，土壤保持功能</w:t>
                  </w:r>
                </w:p>
              </w:tc>
            </w:tr>
            <w:tr w14:paraId="4842C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1271" w:type="dxa"/>
                  <w:tcBorders>
                    <w:tl2br w:val="nil"/>
                    <w:tr2bl w:val="nil"/>
                  </w:tcBorders>
                  <w:vAlign w:val="center"/>
                </w:tcPr>
                <w:p w14:paraId="65176208">
                  <w:pPr>
                    <w:pStyle w:val="16"/>
                    <w:rPr>
                      <w:color w:val="auto"/>
                    </w:rPr>
                  </w:pPr>
                  <w:r>
                    <w:rPr>
                      <w:rFonts w:hint="eastAsia"/>
                      <w:color w:val="auto"/>
                    </w:rPr>
                    <w:t>生态保护和发展方向</w:t>
                  </w:r>
                </w:p>
              </w:tc>
              <w:tc>
                <w:tcPr>
                  <w:tcW w:w="7308" w:type="dxa"/>
                  <w:tcBorders>
                    <w:tl2br w:val="nil"/>
                    <w:tr2bl w:val="nil"/>
                  </w:tcBorders>
                  <w:vAlign w:val="center"/>
                </w:tcPr>
                <w:p w14:paraId="4D18B774">
                  <w:pPr>
                    <w:pStyle w:val="16"/>
                    <w:rPr>
                      <w:color w:val="auto"/>
                    </w:rPr>
                  </w:pPr>
                  <w:r>
                    <w:rPr>
                      <w:rFonts w:hint="eastAsia"/>
                      <w:color w:val="auto"/>
                    </w:rPr>
                    <w:t>保护森林植被和生物多样性，巩固长江上游防护林建设、天然林保护和退耕还林成果。调整农业产业结构，发挥山区优势，以林为主，发展林、农、牧多种经营，发展牛、羊等畜牧产业链。建设优质特色中药材和茶叶生产基地。科学合理开发自然资源，规范和严格管理矿产、水电、生物资源的开发，防止对生态环境和生态系统的不利影响</w:t>
                  </w:r>
                </w:p>
              </w:tc>
            </w:tr>
          </w:tbl>
          <w:p w14:paraId="4421B975">
            <w:pPr>
              <w:ind w:firstLine="480"/>
              <w:jc w:val="left"/>
              <w:rPr>
                <w:color w:val="auto"/>
              </w:rPr>
            </w:pPr>
          </w:p>
          <w:p w14:paraId="5CD4928C">
            <w:pPr>
              <w:ind w:firstLine="0" w:firstLineChars="0"/>
              <w:jc w:val="center"/>
              <w:rPr>
                <w:color w:val="auto"/>
              </w:rPr>
            </w:pPr>
            <w:r>
              <w:rPr>
                <w:color w:val="auto"/>
              </w:rPr>
              <w:drawing>
                <wp:inline distT="0" distB="0" distL="114300" distR="114300">
                  <wp:extent cx="5208905" cy="4250690"/>
                  <wp:effectExtent l="0" t="0" r="10795" b="3810"/>
                  <wp:docPr id="2" name="图片 3" descr="说明: QQ图片20180708172636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说明: QQ图片20180708172636副本1"/>
                          <pic:cNvPicPr>
                            <a:picLocks noChangeAspect="1"/>
                          </pic:cNvPicPr>
                        </pic:nvPicPr>
                        <pic:blipFill>
                          <a:blip r:embed="rId14"/>
                          <a:stretch>
                            <a:fillRect/>
                          </a:stretch>
                        </pic:blipFill>
                        <pic:spPr>
                          <a:xfrm>
                            <a:off x="0" y="0"/>
                            <a:ext cx="5208905" cy="4250690"/>
                          </a:xfrm>
                          <a:prstGeom prst="rect">
                            <a:avLst/>
                          </a:prstGeom>
                          <a:noFill/>
                          <a:ln>
                            <a:noFill/>
                          </a:ln>
                        </pic:spPr>
                      </pic:pic>
                    </a:graphicData>
                  </a:graphic>
                </wp:inline>
              </w:drawing>
            </w:r>
          </w:p>
          <w:p w14:paraId="6206E4EA">
            <w:pPr>
              <w:pStyle w:val="17"/>
              <w:rPr>
                <w:rFonts w:hint="default"/>
                <w:color w:val="auto"/>
              </w:rPr>
            </w:pPr>
            <w:r>
              <w:rPr>
                <w:color w:val="auto"/>
              </w:rPr>
              <w:t>图1-2 本项目与四川省生态功能区划位置关系示意图</w:t>
            </w:r>
          </w:p>
          <w:p w14:paraId="3D88DFF7">
            <w:pPr>
              <w:ind w:firstLine="482"/>
              <w:rPr>
                <w:b/>
                <w:bCs/>
                <w:color w:val="auto"/>
              </w:rPr>
            </w:pPr>
            <w:r>
              <w:rPr>
                <w:rFonts w:hint="eastAsia"/>
                <w:b/>
                <w:bCs/>
                <w:color w:val="auto"/>
              </w:rPr>
              <w:t>6、与《巴中市生态功能区划》符合性分析</w:t>
            </w:r>
          </w:p>
          <w:p w14:paraId="4704E357">
            <w:pPr>
              <w:ind w:firstLine="480"/>
              <w:rPr>
                <w:color w:val="auto"/>
              </w:rPr>
            </w:pPr>
            <w:r>
              <w:rPr>
                <w:rFonts w:hint="eastAsia"/>
                <w:color w:val="auto"/>
              </w:rPr>
              <w:t>本项目</w:t>
            </w:r>
            <w:r>
              <w:rPr>
                <w:color w:val="auto"/>
              </w:rPr>
              <w:t>位于</w:t>
            </w:r>
            <w:r>
              <w:rPr>
                <w:rFonts w:hint="eastAsia"/>
                <w:color w:val="auto"/>
              </w:rPr>
              <w:t>通江县铁佛镇</w:t>
            </w:r>
            <w:r>
              <w:rPr>
                <w:color w:val="auto"/>
              </w:rPr>
              <w:t>，根据《巴中市生态功能区划》，</w:t>
            </w:r>
            <w:r>
              <w:rPr>
                <w:rFonts w:hint="eastAsia"/>
                <w:color w:val="auto"/>
              </w:rPr>
              <w:t>本项目</w:t>
            </w:r>
            <w:r>
              <w:rPr>
                <w:color w:val="auto"/>
              </w:rPr>
              <w:t>工程区属于秦巴山地常绿阔叶林生态区（I）——米仓山</w:t>
            </w:r>
            <w:r>
              <w:rPr>
                <w:rFonts w:hint="eastAsia"/>
                <w:color w:val="auto"/>
              </w:rPr>
              <w:t>－</w:t>
            </w:r>
            <w:r>
              <w:rPr>
                <w:color w:val="auto"/>
              </w:rPr>
              <w:t>大巴山常绿阔叶</w:t>
            </w:r>
            <w:r>
              <w:rPr>
                <w:rFonts w:hint="eastAsia"/>
                <w:color w:val="auto"/>
              </w:rPr>
              <w:t>一针</w:t>
            </w:r>
            <w:r>
              <w:rPr>
                <w:color w:val="auto"/>
              </w:rPr>
              <w:t>阔混交林生态亚区（I-1）——南江</w:t>
            </w:r>
            <w:r>
              <w:rPr>
                <w:rFonts w:hint="eastAsia"/>
                <w:color w:val="auto"/>
              </w:rPr>
              <w:t>－</w:t>
            </w:r>
            <w:r>
              <w:rPr>
                <w:color w:val="auto"/>
              </w:rPr>
              <w:t>通江中山生物多样性生态功能区（I-1-2）</w:t>
            </w:r>
            <w:r>
              <w:rPr>
                <w:rFonts w:hint="eastAsia"/>
                <w:color w:val="auto"/>
              </w:rPr>
              <w:t>。</w:t>
            </w:r>
          </w:p>
          <w:p w14:paraId="21926DEE">
            <w:pPr>
              <w:pStyle w:val="17"/>
              <w:rPr>
                <w:rFonts w:hint="default"/>
                <w:color w:val="auto"/>
              </w:rPr>
            </w:pPr>
            <w:r>
              <w:rPr>
                <w:color w:val="auto"/>
              </w:rPr>
              <w:t>表1-8 《巴中市生态功能区划》相关要求</w:t>
            </w:r>
          </w:p>
          <w:tbl>
            <w:tblPr>
              <w:tblStyle w:val="1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898"/>
              <w:gridCol w:w="1918"/>
              <w:gridCol w:w="927"/>
              <w:gridCol w:w="1246"/>
              <w:gridCol w:w="1277"/>
            </w:tblGrid>
            <w:tr w14:paraId="7BC66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5" w:type="pct"/>
                  <w:tcBorders>
                    <w:tl2br w:val="nil"/>
                    <w:tr2bl w:val="nil"/>
                  </w:tcBorders>
                  <w:noWrap/>
                  <w:vAlign w:val="center"/>
                </w:tcPr>
                <w:p w14:paraId="098FF777">
                  <w:pPr>
                    <w:pStyle w:val="16"/>
                    <w:jc w:val="center"/>
                    <w:rPr>
                      <w:color w:val="auto"/>
                    </w:rPr>
                  </w:pPr>
                  <w:r>
                    <w:rPr>
                      <w:color w:val="auto"/>
                    </w:rPr>
                    <w:t>生态区</w:t>
                  </w:r>
                </w:p>
              </w:tc>
              <w:tc>
                <w:tcPr>
                  <w:tcW w:w="1106" w:type="pct"/>
                  <w:tcBorders>
                    <w:tl2br w:val="nil"/>
                    <w:tr2bl w:val="nil"/>
                  </w:tcBorders>
                  <w:noWrap/>
                  <w:vAlign w:val="center"/>
                </w:tcPr>
                <w:p w14:paraId="731545F4">
                  <w:pPr>
                    <w:pStyle w:val="16"/>
                    <w:jc w:val="center"/>
                    <w:rPr>
                      <w:color w:val="auto"/>
                    </w:rPr>
                  </w:pPr>
                  <w:r>
                    <w:rPr>
                      <w:color w:val="auto"/>
                    </w:rPr>
                    <w:t>生态亚区</w:t>
                  </w:r>
                </w:p>
              </w:tc>
              <w:tc>
                <w:tcPr>
                  <w:tcW w:w="1117" w:type="pct"/>
                  <w:tcBorders>
                    <w:tl2br w:val="nil"/>
                    <w:tr2bl w:val="nil"/>
                  </w:tcBorders>
                  <w:noWrap/>
                  <w:vAlign w:val="center"/>
                </w:tcPr>
                <w:p w14:paraId="1229848D">
                  <w:pPr>
                    <w:pStyle w:val="16"/>
                    <w:jc w:val="center"/>
                    <w:rPr>
                      <w:color w:val="auto"/>
                    </w:rPr>
                  </w:pPr>
                  <w:r>
                    <w:rPr>
                      <w:color w:val="auto"/>
                    </w:rPr>
                    <w:t>生态功能区</w:t>
                  </w:r>
                </w:p>
              </w:tc>
              <w:tc>
                <w:tcPr>
                  <w:tcW w:w="540" w:type="pct"/>
                  <w:tcBorders>
                    <w:tl2br w:val="nil"/>
                    <w:tr2bl w:val="nil"/>
                  </w:tcBorders>
                  <w:noWrap/>
                  <w:vAlign w:val="center"/>
                </w:tcPr>
                <w:p w14:paraId="5DCEBFB5">
                  <w:pPr>
                    <w:pStyle w:val="16"/>
                    <w:jc w:val="center"/>
                    <w:rPr>
                      <w:color w:val="auto"/>
                    </w:rPr>
                  </w:pPr>
                  <w:r>
                    <w:rPr>
                      <w:color w:val="auto"/>
                    </w:rPr>
                    <w:t>主要服务功能</w:t>
                  </w:r>
                </w:p>
              </w:tc>
              <w:tc>
                <w:tcPr>
                  <w:tcW w:w="725" w:type="pct"/>
                  <w:tcBorders>
                    <w:tl2br w:val="nil"/>
                    <w:tr2bl w:val="nil"/>
                  </w:tcBorders>
                  <w:noWrap/>
                  <w:vAlign w:val="center"/>
                </w:tcPr>
                <w:p w14:paraId="5F9D5C37">
                  <w:pPr>
                    <w:pStyle w:val="16"/>
                    <w:jc w:val="center"/>
                    <w:rPr>
                      <w:color w:val="auto"/>
                    </w:rPr>
                  </w:pPr>
                  <w:r>
                    <w:rPr>
                      <w:color w:val="auto"/>
                    </w:rPr>
                    <w:t>次要服务功能</w:t>
                  </w:r>
                </w:p>
              </w:tc>
              <w:tc>
                <w:tcPr>
                  <w:tcW w:w="743" w:type="pct"/>
                  <w:tcBorders>
                    <w:tl2br w:val="nil"/>
                    <w:tr2bl w:val="nil"/>
                  </w:tcBorders>
                  <w:noWrap/>
                  <w:vAlign w:val="center"/>
                </w:tcPr>
                <w:p w14:paraId="32E7A58A">
                  <w:pPr>
                    <w:pStyle w:val="16"/>
                    <w:jc w:val="center"/>
                    <w:rPr>
                      <w:color w:val="auto"/>
                    </w:rPr>
                  </w:pPr>
                  <w:r>
                    <w:rPr>
                      <w:color w:val="auto"/>
                    </w:rPr>
                    <w:t>辅助服务功能</w:t>
                  </w:r>
                </w:p>
              </w:tc>
            </w:tr>
            <w:tr w14:paraId="2D2AA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5" w:type="pct"/>
                  <w:tcBorders>
                    <w:tl2br w:val="nil"/>
                    <w:tr2bl w:val="nil"/>
                  </w:tcBorders>
                  <w:noWrap/>
                  <w:vAlign w:val="center"/>
                </w:tcPr>
                <w:p w14:paraId="0561398F">
                  <w:pPr>
                    <w:pStyle w:val="16"/>
                    <w:rPr>
                      <w:color w:val="auto"/>
                    </w:rPr>
                  </w:pPr>
                  <w:r>
                    <w:rPr>
                      <w:color w:val="auto"/>
                    </w:rPr>
                    <w:t>秦巴山地常绿阔叶林生态区（I）</w:t>
                  </w:r>
                </w:p>
              </w:tc>
              <w:tc>
                <w:tcPr>
                  <w:tcW w:w="1106" w:type="pct"/>
                  <w:tcBorders>
                    <w:tl2br w:val="nil"/>
                    <w:tr2bl w:val="nil"/>
                  </w:tcBorders>
                  <w:noWrap/>
                  <w:vAlign w:val="center"/>
                </w:tcPr>
                <w:p w14:paraId="7DE9DA05">
                  <w:pPr>
                    <w:pStyle w:val="16"/>
                    <w:rPr>
                      <w:color w:val="auto"/>
                    </w:rPr>
                  </w:pPr>
                  <w:r>
                    <w:rPr>
                      <w:color w:val="auto"/>
                    </w:rPr>
                    <w:t>米仓山</w:t>
                  </w:r>
                  <w:r>
                    <w:rPr>
                      <w:rFonts w:hint="eastAsia"/>
                      <w:color w:val="auto"/>
                    </w:rPr>
                    <w:t>－</w:t>
                  </w:r>
                  <w:r>
                    <w:rPr>
                      <w:color w:val="auto"/>
                    </w:rPr>
                    <w:t>大巴山常绿阔叶</w:t>
                  </w:r>
                  <w:r>
                    <w:rPr>
                      <w:rFonts w:hint="eastAsia"/>
                      <w:color w:val="auto"/>
                    </w:rPr>
                    <w:t>一针</w:t>
                  </w:r>
                  <w:r>
                    <w:rPr>
                      <w:color w:val="auto"/>
                    </w:rPr>
                    <w:t>阔混交林生态亚区（I-1）</w:t>
                  </w:r>
                </w:p>
              </w:tc>
              <w:tc>
                <w:tcPr>
                  <w:tcW w:w="1117" w:type="pct"/>
                  <w:tcBorders>
                    <w:tl2br w:val="nil"/>
                    <w:tr2bl w:val="nil"/>
                  </w:tcBorders>
                  <w:noWrap/>
                  <w:vAlign w:val="center"/>
                </w:tcPr>
                <w:p w14:paraId="0F5DDF11">
                  <w:pPr>
                    <w:pStyle w:val="16"/>
                    <w:rPr>
                      <w:color w:val="auto"/>
                    </w:rPr>
                  </w:pPr>
                  <w:r>
                    <w:rPr>
                      <w:color w:val="auto"/>
                    </w:rPr>
                    <w:t>南江</w:t>
                  </w:r>
                  <w:r>
                    <w:rPr>
                      <w:rFonts w:hint="eastAsia"/>
                      <w:color w:val="auto"/>
                    </w:rPr>
                    <w:t>－</w:t>
                  </w:r>
                  <w:r>
                    <w:rPr>
                      <w:color w:val="auto"/>
                    </w:rPr>
                    <w:t>通江中山生物多样性生态功能区（I-1-2）</w:t>
                  </w:r>
                </w:p>
              </w:tc>
              <w:tc>
                <w:tcPr>
                  <w:tcW w:w="540" w:type="pct"/>
                  <w:tcBorders>
                    <w:tl2br w:val="nil"/>
                    <w:tr2bl w:val="nil"/>
                  </w:tcBorders>
                  <w:noWrap/>
                  <w:vAlign w:val="center"/>
                </w:tcPr>
                <w:p w14:paraId="1F433C5C">
                  <w:pPr>
                    <w:pStyle w:val="16"/>
                    <w:rPr>
                      <w:color w:val="auto"/>
                    </w:rPr>
                  </w:pPr>
                  <w:r>
                    <w:rPr>
                      <w:color w:val="auto"/>
                    </w:rPr>
                    <w:t>生物多样性</w:t>
                  </w:r>
                </w:p>
              </w:tc>
              <w:tc>
                <w:tcPr>
                  <w:tcW w:w="725" w:type="pct"/>
                  <w:tcBorders>
                    <w:tl2br w:val="nil"/>
                    <w:tr2bl w:val="nil"/>
                  </w:tcBorders>
                  <w:noWrap/>
                  <w:vAlign w:val="center"/>
                </w:tcPr>
                <w:p w14:paraId="716F5D33">
                  <w:pPr>
                    <w:pStyle w:val="16"/>
                    <w:rPr>
                      <w:color w:val="auto"/>
                    </w:rPr>
                  </w:pPr>
                  <w:r>
                    <w:rPr>
                      <w:color w:val="auto"/>
                    </w:rPr>
                    <w:t>水源涵养、土壤保持</w:t>
                  </w:r>
                </w:p>
              </w:tc>
              <w:tc>
                <w:tcPr>
                  <w:tcW w:w="743" w:type="pct"/>
                  <w:tcBorders>
                    <w:tl2br w:val="nil"/>
                    <w:tr2bl w:val="nil"/>
                  </w:tcBorders>
                  <w:noWrap/>
                  <w:vAlign w:val="center"/>
                </w:tcPr>
                <w:p w14:paraId="58576E2E">
                  <w:pPr>
                    <w:pStyle w:val="16"/>
                    <w:rPr>
                      <w:color w:val="auto"/>
                    </w:rPr>
                  </w:pPr>
                  <w:r>
                    <w:rPr>
                      <w:color w:val="auto"/>
                    </w:rPr>
                    <w:t>营养物质保持</w:t>
                  </w:r>
                </w:p>
              </w:tc>
            </w:tr>
          </w:tbl>
          <w:p w14:paraId="637F1A03">
            <w:pPr>
              <w:ind w:firstLine="480"/>
              <w:rPr>
                <w:color w:val="auto"/>
              </w:rPr>
            </w:pPr>
          </w:p>
          <w:p w14:paraId="59AB1EE9">
            <w:pPr>
              <w:ind w:firstLine="480"/>
              <w:rPr>
                <w:b/>
                <w:bCs/>
                <w:color w:val="auto"/>
              </w:rPr>
            </w:pPr>
            <w:r>
              <w:rPr>
                <w:rFonts w:hint="eastAsia"/>
                <w:color w:val="auto"/>
              </w:rPr>
              <w:t>本项目</w:t>
            </w:r>
            <w:r>
              <w:rPr>
                <w:color w:val="auto"/>
              </w:rPr>
              <w:t>开发任务为</w:t>
            </w:r>
            <w:r>
              <w:rPr>
                <w:rFonts w:hint="eastAsia"/>
                <w:color w:val="auto"/>
              </w:rPr>
              <w:t>农田灌溉、乡</w:t>
            </w:r>
            <w:r>
              <w:rPr>
                <w:color w:val="auto"/>
              </w:rPr>
              <w:t>镇及农村生活供水，项目建设有利于提高水源涵养功能。因此，本工程与巴中市生态功能区划基本符合。</w:t>
            </w:r>
          </w:p>
          <w:p w14:paraId="14CDC35D">
            <w:pPr>
              <w:ind w:firstLine="482"/>
              <w:rPr>
                <w:b/>
                <w:bCs/>
                <w:color w:val="auto"/>
              </w:rPr>
            </w:pPr>
            <w:r>
              <w:rPr>
                <w:rFonts w:hint="eastAsia"/>
                <w:b/>
                <w:bCs/>
                <w:color w:val="auto"/>
              </w:rPr>
              <w:t>7、</w:t>
            </w:r>
            <w:r>
              <w:rPr>
                <w:b/>
                <w:bCs/>
                <w:color w:val="auto"/>
              </w:rPr>
              <w:t>与四川省生态环境分区管控符合性分析</w:t>
            </w:r>
          </w:p>
          <w:p w14:paraId="34CC7DC9">
            <w:pPr>
              <w:ind w:firstLine="480"/>
              <w:rPr>
                <w:color w:val="auto"/>
              </w:rPr>
            </w:pPr>
            <w:r>
              <w:rPr>
                <w:color w:val="auto"/>
              </w:rPr>
              <w:t>四川省生态环境厅于2024年6月5日发布了《四川省生态环境厅分区管控动态更新成果</w:t>
            </w:r>
            <w:r>
              <w:rPr>
                <w:rFonts w:hint="eastAsia"/>
                <w:color w:val="auto"/>
              </w:rPr>
              <w:t>（</w:t>
            </w:r>
            <w:r>
              <w:rPr>
                <w:color w:val="auto"/>
              </w:rPr>
              <w:t>2023年</w:t>
            </w:r>
            <w:r>
              <w:rPr>
                <w:rFonts w:hint="eastAsia"/>
                <w:color w:val="auto"/>
              </w:rPr>
              <w:t>）</w:t>
            </w:r>
            <w:r>
              <w:rPr>
                <w:color w:val="auto"/>
              </w:rPr>
              <w:t>的通知》</w:t>
            </w:r>
            <w:r>
              <w:rPr>
                <w:rFonts w:hint="eastAsia"/>
                <w:color w:val="auto"/>
              </w:rPr>
              <w:t>（</w:t>
            </w:r>
            <w:r>
              <w:rPr>
                <w:color w:val="auto"/>
              </w:rPr>
              <w:t>川环函〔2024〕409号</w:t>
            </w:r>
            <w:r>
              <w:rPr>
                <w:rFonts w:hint="eastAsia"/>
                <w:color w:val="auto"/>
              </w:rPr>
              <w:t>）</w:t>
            </w:r>
            <w:r>
              <w:rPr>
                <w:color w:val="auto"/>
              </w:rPr>
              <w:t>。本项目位于四川省一般管控单元内，不涉及优先管控单元，项目在四川省生态环境管控单元分布图中位置见下图。</w:t>
            </w:r>
          </w:p>
          <w:p w14:paraId="240247EF">
            <w:pPr>
              <w:ind w:firstLine="0" w:firstLineChars="0"/>
              <w:jc w:val="center"/>
              <w:rPr>
                <w:rFonts w:eastAsia="方正仿宋_GBK"/>
                <w:color w:val="auto"/>
                <w:sz w:val="32"/>
                <w:szCs w:val="32"/>
              </w:rPr>
            </w:pPr>
            <w:r>
              <w:rPr>
                <w:rFonts w:eastAsia="黑体"/>
                <w:b/>
                <w:color w:val="auto"/>
                <w:kern w:val="0"/>
              </w:rPr>
              <mc:AlternateContent>
                <mc:Choice Requires="wps">
                  <w:drawing>
                    <wp:anchor distT="0" distB="0" distL="114300" distR="114300" simplePos="0" relativeHeight="251659264" behindDoc="0" locked="0" layoutInCell="1" allowOverlap="1">
                      <wp:simplePos x="0" y="0"/>
                      <wp:positionH relativeFrom="column">
                        <wp:posOffset>3766820</wp:posOffset>
                      </wp:positionH>
                      <wp:positionV relativeFrom="paragraph">
                        <wp:posOffset>1369695</wp:posOffset>
                      </wp:positionV>
                      <wp:extent cx="1136015" cy="330835"/>
                      <wp:effectExtent l="43815" t="192405" r="13970" b="10160"/>
                      <wp:wrapNone/>
                      <wp:docPr id="24" name="圆角矩形标注 24"/>
                      <wp:cNvGraphicFramePr/>
                      <a:graphic xmlns:a="http://schemas.openxmlformats.org/drawingml/2006/main">
                        <a:graphicData uri="http://schemas.microsoft.com/office/word/2010/wordprocessingShape">
                          <wps:wsp>
                            <wps:cNvSpPr/>
                            <wps:spPr>
                              <a:xfrm>
                                <a:off x="0" y="0"/>
                                <a:ext cx="1136015" cy="330835"/>
                              </a:xfrm>
                              <a:prstGeom prst="wedgeRoundRectCallout">
                                <a:avLst>
                                  <a:gd name="adj1" fmla="val -51829"/>
                                  <a:gd name="adj2" fmla="val -10404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62034058">
                                  <w:pPr>
                                    <w:pStyle w:val="16"/>
                                    <w:rPr>
                                      <w:b/>
                                      <w:bCs/>
                                    </w:rPr>
                                  </w:pPr>
                                  <w:r>
                                    <w:rPr>
                                      <w:rFonts w:hint="eastAsia"/>
                                      <w:b/>
                                      <w:bCs/>
                                    </w:rPr>
                                    <w:t>本项目位置</w:t>
                                  </w:r>
                                </w:p>
                              </w:txbxContent>
                            </wps:txbx>
                            <wps:bodyPr upright="1"/>
                          </wps:wsp>
                        </a:graphicData>
                      </a:graphic>
                    </wp:anchor>
                  </w:drawing>
                </mc:Choice>
                <mc:Fallback>
                  <w:pict>
                    <v:shape id="_x0000_s1026" o:spid="_x0000_s1026" o:spt="62" type="#_x0000_t62" style="position:absolute;left:0pt;margin-left:296.6pt;margin-top:107.85pt;height:26.05pt;width:89.45pt;z-index:251659264;mso-width-relative:page;mso-height-relative:page;" fillcolor="#FFFFFF" filled="t" stroked="t" coordsize="21600,21600" o:gfxdata="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bKok9oAAAAL&#10;AQAADwAAAAAAAAABACAAAAAiAAAAZHJzL2Rvd25yZXYueG1sUEsBAhQAFAAAAAgAh07iQMhvAc1T&#10;AgAAwAQAAA4AAAAAAAAAAQAgAAAAKQEAAGRycy9lMm9Eb2MueG1sUEsFBgAAAAAGAAYAWQEAAO4F&#10;AAAAAA==&#10;" adj="-395,-11673,14400">
                      <v:fill on="t" focussize="0,0"/>
                      <v:stroke color="#000000" joinstyle="miter"/>
                      <v:imagedata o:title=""/>
                      <o:lock v:ext="edit" aspectratio="f"/>
                      <v:textbox>
                        <w:txbxContent>
                          <w:p w14:paraId="62034058">
                            <w:pPr>
                              <w:pStyle w:val="16"/>
                              <w:rPr>
                                <w:b/>
                                <w:bCs/>
                              </w:rPr>
                            </w:pPr>
                            <w:r>
                              <w:rPr>
                                <w:rFonts w:hint="eastAsia"/>
                                <w:b/>
                                <w:bCs/>
                              </w:rPr>
                              <w:t>本项目位置</w:t>
                            </w:r>
                          </w:p>
                        </w:txbxContent>
                      </v:textbox>
                    </v:shape>
                  </w:pict>
                </mc:Fallback>
              </mc:AlternateContent>
            </w:r>
            <w:r>
              <w:rPr>
                <w:rFonts w:eastAsia="方正仿宋_GBK"/>
                <w:color w:val="auto"/>
                <w:sz w:val="32"/>
                <w:szCs w:val="32"/>
              </w:rPr>
              <w:drawing>
                <wp:inline distT="0" distB="0" distL="114300" distR="114300">
                  <wp:extent cx="5491480" cy="3745865"/>
                  <wp:effectExtent l="0" t="0" r="7620" b="635"/>
                  <wp:docPr id="3" name="图片 86" descr="39环境管控单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6" descr="39环境管控单元图"/>
                          <pic:cNvPicPr preferRelativeResize="0">
                            <a:picLocks noChangeAspect="1"/>
                          </pic:cNvPicPr>
                        </pic:nvPicPr>
                        <pic:blipFill>
                          <a:blip r:embed="rId15"/>
                          <a:stretch>
                            <a:fillRect/>
                          </a:stretch>
                        </pic:blipFill>
                        <pic:spPr>
                          <a:xfrm>
                            <a:off x="0" y="0"/>
                            <a:ext cx="5491480" cy="3745865"/>
                          </a:xfrm>
                          <a:prstGeom prst="rect">
                            <a:avLst/>
                          </a:prstGeom>
                          <a:noFill/>
                          <a:ln>
                            <a:noFill/>
                          </a:ln>
                        </pic:spPr>
                      </pic:pic>
                    </a:graphicData>
                  </a:graphic>
                </wp:inline>
              </w:drawing>
            </w:r>
          </w:p>
          <w:p w14:paraId="068E7358">
            <w:pPr>
              <w:pStyle w:val="17"/>
              <w:spacing w:after="240" w:afterLines="100" w:line="240" w:lineRule="auto"/>
              <w:rPr>
                <w:rFonts w:hint="default"/>
                <w:color w:val="auto"/>
              </w:rPr>
            </w:pPr>
            <w:r>
              <w:rPr>
                <w:color w:val="auto"/>
              </w:rPr>
              <w:t>图1-3 本项目与四川省生态环境管控单元分布位置关系图</w:t>
            </w:r>
          </w:p>
          <w:p w14:paraId="21EBB071">
            <w:pPr>
              <w:ind w:firstLine="482"/>
              <w:rPr>
                <w:b/>
                <w:bCs/>
                <w:color w:val="auto"/>
              </w:rPr>
            </w:pPr>
            <w:r>
              <w:rPr>
                <w:rFonts w:hint="eastAsia"/>
                <w:b/>
                <w:bCs/>
                <w:color w:val="auto"/>
              </w:rPr>
              <w:t>（1）项目涉及管控单元信息</w:t>
            </w:r>
          </w:p>
          <w:p w14:paraId="69DC9EBD">
            <w:pPr>
              <w:ind w:firstLine="480"/>
              <w:rPr>
                <w:color w:val="auto"/>
              </w:rPr>
            </w:pPr>
            <w:r>
              <w:rPr>
                <w:rFonts w:hint="eastAsia"/>
                <w:color w:val="auto"/>
              </w:rPr>
              <w:t>根据四川省生态环境分区管控查询报告书可知，本项目涉及的生态环境管控单元有2个，分别是：</w:t>
            </w:r>
          </w:p>
          <w:p w14:paraId="4FC2A1A2">
            <w:pPr>
              <w:pStyle w:val="17"/>
              <w:rPr>
                <w:rFonts w:hint="default"/>
                <w:color w:val="auto"/>
              </w:rPr>
            </w:pPr>
            <w:r>
              <w:rPr>
                <w:color w:val="auto"/>
              </w:rPr>
              <w:t>表1-9 本项目涉及的生态环境管控单元</w:t>
            </w:r>
          </w:p>
          <w:tbl>
            <w:tblPr>
              <w:tblStyle w:val="12"/>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712"/>
              <w:gridCol w:w="1071"/>
              <w:gridCol w:w="1954"/>
              <w:gridCol w:w="2969"/>
              <w:gridCol w:w="891"/>
              <w:gridCol w:w="982"/>
            </w:tblGrid>
            <w:tr w14:paraId="74674B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tcMar>
                    <w:top w:w="50" w:type="dxa"/>
                    <w:left w:w="50" w:type="dxa"/>
                    <w:bottom w:w="50" w:type="dxa"/>
                    <w:right w:w="50" w:type="dxa"/>
                  </w:tcMar>
                  <w:vAlign w:val="center"/>
                </w:tcPr>
                <w:p w14:paraId="78BFB00B">
                  <w:pPr>
                    <w:pStyle w:val="16"/>
                    <w:jc w:val="center"/>
                    <w:rPr>
                      <w:color w:val="auto"/>
                    </w:rPr>
                  </w:pPr>
                  <w:r>
                    <w:rPr>
                      <w:color w:val="auto"/>
                    </w:rPr>
                    <w:t>序号</w:t>
                  </w:r>
                </w:p>
              </w:tc>
              <w:tc>
                <w:tcPr>
                  <w:tcW w:w="1231" w:type="dxa"/>
                  <w:tcBorders>
                    <w:tl2br w:val="nil"/>
                    <w:tr2bl w:val="nil"/>
                  </w:tcBorders>
                  <w:tcMar>
                    <w:top w:w="50" w:type="dxa"/>
                    <w:left w:w="50" w:type="dxa"/>
                    <w:bottom w:w="50" w:type="dxa"/>
                    <w:right w:w="50" w:type="dxa"/>
                  </w:tcMar>
                  <w:vAlign w:val="center"/>
                </w:tcPr>
                <w:p w14:paraId="6CD1A149">
                  <w:pPr>
                    <w:pStyle w:val="16"/>
                    <w:jc w:val="center"/>
                    <w:rPr>
                      <w:color w:val="auto"/>
                    </w:rPr>
                  </w:pPr>
                  <w:r>
                    <w:rPr>
                      <w:color w:val="auto"/>
                    </w:rPr>
                    <w:t>涉及环境管控单元名称</w:t>
                  </w:r>
                </w:p>
              </w:tc>
              <w:tc>
                <w:tcPr>
                  <w:tcW w:w="2264" w:type="dxa"/>
                  <w:tcBorders>
                    <w:tl2br w:val="nil"/>
                    <w:tr2bl w:val="nil"/>
                  </w:tcBorders>
                  <w:tcMar>
                    <w:top w:w="50" w:type="dxa"/>
                    <w:left w:w="50" w:type="dxa"/>
                    <w:bottom w:w="50" w:type="dxa"/>
                    <w:right w:w="50" w:type="dxa"/>
                  </w:tcMar>
                  <w:vAlign w:val="center"/>
                </w:tcPr>
                <w:p w14:paraId="41256122">
                  <w:pPr>
                    <w:pStyle w:val="16"/>
                    <w:jc w:val="center"/>
                    <w:rPr>
                      <w:color w:val="auto"/>
                    </w:rPr>
                  </w:pPr>
                  <w:r>
                    <w:rPr>
                      <w:color w:val="auto"/>
                    </w:rPr>
                    <w:t>涉及环境管控单元编码</w:t>
                  </w:r>
                </w:p>
              </w:tc>
              <w:tc>
                <w:tcPr>
                  <w:tcW w:w="3450" w:type="dxa"/>
                  <w:tcBorders>
                    <w:tl2br w:val="nil"/>
                    <w:tr2bl w:val="nil"/>
                  </w:tcBorders>
                  <w:tcMar>
                    <w:top w:w="50" w:type="dxa"/>
                    <w:left w:w="50" w:type="dxa"/>
                    <w:bottom w:w="50" w:type="dxa"/>
                    <w:right w:w="50" w:type="dxa"/>
                  </w:tcMar>
                  <w:vAlign w:val="center"/>
                </w:tcPr>
                <w:p w14:paraId="520C39AE">
                  <w:pPr>
                    <w:pStyle w:val="16"/>
                    <w:jc w:val="center"/>
                    <w:rPr>
                      <w:color w:val="auto"/>
                    </w:rPr>
                  </w:pPr>
                  <w:r>
                    <w:rPr>
                      <w:color w:val="auto"/>
                    </w:rPr>
                    <w:t>与管控单元关系（点选：点位信息；线选：相交长度</w:t>
                  </w:r>
                  <w:r>
                    <w:rPr>
                      <w:rFonts w:hint="eastAsia"/>
                      <w:color w:val="auto"/>
                    </w:rPr>
                    <w:t>，</w:t>
                  </w:r>
                  <w:r>
                    <w:rPr>
                      <w:color w:val="auto"/>
                    </w:rPr>
                    <w:t>单位千米；面选：相交面积，单位平方千米）</w:t>
                  </w:r>
                </w:p>
              </w:tc>
              <w:tc>
                <w:tcPr>
                  <w:tcW w:w="1021" w:type="dxa"/>
                  <w:tcBorders>
                    <w:tl2br w:val="nil"/>
                    <w:tr2bl w:val="nil"/>
                  </w:tcBorders>
                  <w:tcMar>
                    <w:top w:w="50" w:type="dxa"/>
                    <w:left w:w="50" w:type="dxa"/>
                    <w:bottom w:w="50" w:type="dxa"/>
                    <w:right w:w="50" w:type="dxa"/>
                  </w:tcMar>
                  <w:vAlign w:val="center"/>
                </w:tcPr>
                <w:p w14:paraId="3A0DAA5E">
                  <w:pPr>
                    <w:pStyle w:val="16"/>
                    <w:jc w:val="center"/>
                    <w:rPr>
                      <w:color w:val="auto"/>
                    </w:rPr>
                  </w:pPr>
                  <w:r>
                    <w:rPr>
                      <w:color w:val="auto"/>
                    </w:rPr>
                    <w:t>行政区划</w:t>
                  </w:r>
                </w:p>
              </w:tc>
              <w:tc>
                <w:tcPr>
                  <w:tcW w:w="1127" w:type="dxa"/>
                  <w:tcBorders>
                    <w:tl2br w:val="nil"/>
                    <w:tr2bl w:val="nil"/>
                  </w:tcBorders>
                  <w:tcMar>
                    <w:top w:w="50" w:type="dxa"/>
                    <w:left w:w="50" w:type="dxa"/>
                    <w:bottom w:w="50" w:type="dxa"/>
                    <w:right w:w="50" w:type="dxa"/>
                  </w:tcMar>
                  <w:vAlign w:val="center"/>
                </w:tcPr>
                <w:p w14:paraId="394DB00A">
                  <w:pPr>
                    <w:pStyle w:val="16"/>
                    <w:jc w:val="center"/>
                    <w:rPr>
                      <w:color w:val="auto"/>
                    </w:rPr>
                  </w:pPr>
                  <w:r>
                    <w:rPr>
                      <w:color w:val="auto"/>
                    </w:rPr>
                    <w:t>环境管控单元类型</w:t>
                  </w:r>
                </w:p>
              </w:tc>
            </w:tr>
            <w:tr w14:paraId="474782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tcMar>
                    <w:top w:w="50" w:type="dxa"/>
                    <w:left w:w="50" w:type="dxa"/>
                    <w:bottom w:w="50" w:type="dxa"/>
                    <w:right w:w="50" w:type="dxa"/>
                  </w:tcMar>
                  <w:vAlign w:val="center"/>
                </w:tcPr>
                <w:p w14:paraId="39D9545D">
                  <w:pPr>
                    <w:pStyle w:val="16"/>
                    <w:jc w:val="center"/>
                    <w:rPr>
                      <w:color w:val="auto"/>
                    </w:rPr>
                  </w:pPr>
                  <w:r>
                    <w:rPr>
                      <w:color w:val="auto"/>
                    </w:rPr>
                    <w:t>1</w:t>
                  </w:r>
                </w:p>
              </w:tc>
              <w:tc>
                <w:tcPr>
                  <w:tcW w:w="1231" w:type="dxa"/>
                  <w:tcBorders>
                    <w:tl2br w:val="nil"/>
                    <w:tr2bl w:val="nil"/>
                  </w:tcBorders>
                  <w:tcMar>
                    <w:top w:w="50" w:type="dxa"/>
                    <w:left w:w="50" w:type="dxa"/>
                    <w:bottom w:w="50" w:type="dxa"/>
                    <w:right w:w="50" w:type="dxa"/>
                  </w:tcMar>
                  <w:vAlign w:val="center"/>
                </w:tcPr>
                <w:p w14:paraId="61863858">
                  <w:pPr>
                    <w:pStyle w:val="16"/>
                    <w:rPr>
                      <w:color w:val="auto"/>
                    </w:rPr>
                  </w:pPr>
                  <w:r>
                    <w:rPr>
                      <w:color w:val="auto"/>
                    </w:rPr>
                    <w:t>通江县城镇空间</w:t>
                  </w:r>
                </w:p>
              </w:tc>
              <w:tc>
                <w:tcPr>
                  <w:tcW w:w="2264" w:type="dxa"/>
                  <w:tcBorders>
                    <w:tl2br w:val="nil"/>
                    <w:tr2bl w:val="nil"/>
                  </w:tcBorders>
                  <w:tcMar>
                    <w:top w:w="50" w:type="dxa"/>
                    <w:left w:w="50" w:type="dxa"/>
                    <w:bottom w:w="50" w:type="dxa"/>
                    <w:right w:w="50" w:type="dxa"/>
                  </w:tcMar>
                  <w:vAlign w:val="center"/>
                </w:tcPr>
                <w:p w14:paraId="752C6986">
                  <w:pPr>
                    <w:pStyle w:val="16"/>
                    <w:rPr>
                      <w:color w:val="auto"/>
                    </w:rPr>
                  </w:pPr>
                  <w:r>
                    <w:rPr>
                      <w:color w:val="auto"/>
                    </w:rPr>
                    <w:t>ZH51192120001</w:t>
                  </w:r>
                </w:p>
              </w:tc>
              <w:tc>
                <w:tcPr>
                  <w:tcW w:w="3450" w:type="dxa"/>
                  <w:tcBorders>
                    <w:tl2br w:val="nil"/>
                    <w:tr2bl w:val="nil"/>
                  </w:tcBorders>
                  <w:tcMar>
                    <w:top w:w="50" w:type="dxa"/>
                    <w:left w:w="50" w:type="dxa"/>
                    <w:bottom w:w="50" w:type="dxa"/>
                    <w:right w:w="50" w:type="dxa"/>
                  </w:tcMar>
                  <w:vAlign w:val="center"/>
                </w:tcPr>
                <w:p w14:paraId="43D9268D">
                  <w:pPr>
                    <w:pStyle w:val="16"/>
                    <w:jc w:val="center"/>
                    <w:rPr>
                      <w:color w:val="auto"/>
                    </w:rPr>
                  </w:pPr>
                  <w:r>
                    <w:rPr>
                      <w:color w:val="auto"/>
                    </w:rPr>
                    <w:t>0.8982</w:t>
                  </w:r>
                </w:p>
              </w:tc>
              <w:tc>
                <w:tcPr>
                  <w:tcW w:w="1021" w:type="dxa"/>
                  <w:tcBorders>
                    <w:tl2br w:val="nil"/>
                    <w:tr2bl w:val="nil"/>
                  </w:tcBorders>
                  <w:tcMar>
                    <w:top w:w="50" w:type="dxa"/>
                    <w:left w:w="50" w:type="dxa"/>
                    <w:bottom w:w="50" w:type="dxa"/>
                    <w:right w:w="50" w:type="dxa"/>
                  </w:tcMar>
                  <w:vAlign w:val="center"/>
                </w:tcPr>
                <w:p w14:paraId="7CA8C636">
                  <w:pPr>
                    <w:pStyle w:val="16"/>
                    <w:rPr>
                      <w:color w:val="auto"/>
                    </w:rPr>
                  </w:pPr>
                  <w:r>
                    <w:rPr>
                      <w:color w:val="auto"/>
                    </w:rPr>
                    <w:t>巴中市通江县</w:t>
                  </w:r>
                </w:p>
              </w:tc>
              <w:tc>
                <w:tcPr>
                  <w:tcW w:w="1127" w:type="dxa"/>
                  <w:tcBorders>
                    <w:tl2br w:val="nil"/>
                    <w:tr2bl w:val="nil"/>
                  </w:tcBorders>
                  <w:tcMar>
                    <w:top w:w="50" w:type="dxa"/>
                    <w:left w:w="50" w:type="dxa"/>
                    <w:bottom w:w="50" w:type="dxa"/>
                    <w:right w:w="50" w:type="dxa"/>
                  </w:tcMar>
                  <w:vAlign w:val="center"/>
                </w:tcPr>
                <w:p w14:paraId="71C90165">
                  <w:pPr>
                    <w:pStyle w:val="16"/>
                    <w:rPr>
                      <w:color w:val="auto"/>
                    </w:rPr>
                  </w:pPr>
                  <w:r>
                    <w:rPr>
                      <w:color w:val="auto"/>
                    </w:rPr>
                    <w:t>城镇重点管控单元</w:t>
                  </w:r>
                </w:p>
              </w:tc>
            </w:tr>
            <w:tr w14:paraId="6F5AB7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813" w:type="dxa"/>
                  <w:tcBorders>
                    <w:tl2br w:val="nil"/>
                    <w:tr2bl w:val="nil"/>
                  </w:tcBorders>
                  <w:tcMar>
                    <w:top w:w="50" w:type="dxa"/>
                    <w:left w:w="50" w:type="dxa"/>
                    <w:bottom w:w="50" w:type="dxa"/>
                    <w:right w:w="50" w:type="dxa"/>
                  </w:tcMar>
                  <w:vAlign w:val="center"/>
                </w:tcPr>
                <w:p w14:paraId="1D69C149">
                  <w:pPr>
                    <w:pStyle w:val="16"/>
                    <w:jc w:val="center"/>
                    <w:rPr>
                      <w:color w:val="auto"/>
                    </w:rPr>
                  </w:pPr>
                  <w:r>
                    <w:rPr>
                      <w:color w:val="auto"/>
                    </w:rPr>
                    <w:t>2</w:t>
                  </w:r>
                </w:p>
              </w:tc>
              <w:tc>
                <w:tcPr>
                  <w:tcW w:w="1231" w:type="dxa"/>
                  <w:tcBorders>
                    <w:tl2br w:val="nil"/>
                    <w:tr2bl w:val="nil"/>
                  </w:tcBorders>
                  <w:tcMar>
                    <w:top w:w="50" w:type="dxa"/>
                    <w:left w:w="50" w:type="dxa"/>
                    <w:bottom w:w="50" w:type="dxa"/>
                    <w:right w:w="50" w:type="dxa"/>
                  </w:tcMar>
                  <w:vAlign w:val="center"/>
                </w:tcPr>
                <w:p w14:paraId="7D28CC9B">
                  <w:pPr>
                    <w:pStyle w:val="16"/>
                    <w:rPr>
                      <w:color w:val="auto"/>
                    </w:rPr>
                  </w:pPr>
                  <w:r>
                    <w:rPr>
                      <w:color w:val="auto"/>
                    </w:rPr>
                    <w:t>通江县一般管控单元</w:t>
                  </w:r>
                </w:p>
              </w:tc>
              <w:tc>
                <w:tcPr>
                  <w:tcW w:w="2264" w:type="dxa"/>
                  <w:tcBorders>
                    <w:tl2br w:val="nil"/>
                    <w:tr2bl w:val="nil"/>
                  </w:tcBorders>
                  <w:tcMar>
                    <w:top w:w="50" w:type="dxa"/>
                    <w:left w:w="50" w:type="dxa"/>
                    <w:bottom w:w="50" w:type="dxa"/>
                    <w:right w:w="50" w:type="dxa"/>
                  </w:tcMar>
                  <w:vAlign w:val="center"/>
                </w:tcPr>
                <w:p w14:paraId="213E5444">
                  <w:pPr>
                    <w:pStyle w:val="16"/>
                    <w:rPr>
                      <w:color w:val="auto"/>
                    </w:rPr>
                  </w:pPr>
                  <w:r>
                    <w:rPr>
                      <w:color w:val="auto"/>
                    </w:rPr>
                    <w:t>ZH51192130001</w:t>
                  </w:r>
                </w:p>
              </w:tc>
              <w:tc>
                <w:tcPr>
                  <w:tcW w:w="3450" w:type="dxa"/>
                  <w:tcBorders>
                    <w:tl2br w:val="nil"/>
                    <w:tr2bl w:val="nil"/>
                  </w:tcBorders>
                  <w:tcMar>
                    <w:top w:w="50" w:type="dxa"/>
                    <w:left w:w="50" w:type="dxa"/>
                    <w:bottom w:w="50" w:type="dxa"/>
                    <w:right w:w="50" w:type="dxa"/>
                  </w:tcMar>
                  <w:vAlign w:val="center"/>
                </w:tcPr>
                <w:p w14:paraId="6F337537">
                  <w:pPr>
                    <w:pStyle w:val="16"/>
                    <w:jc w:val="center"/>
                    <w:rPr>
                      <w:color w:val="auto"/>
                    </w:rPr>
                  </w:pPr>
                  <w:r>
                    <w:rPr>
                      <w:color w:val="auto"/>
                    </w:rPr>
                    <w:t>48.9532</w:t>
                  </w:r>
                </w:p>
              </w:tc>
              <w:tc>
                <w:tcPr>
                  <w:tcW w:w="1021" w:type="dxa"/>
                  <w:tcBorders>
                    <w:tl2br w:val="nil"/>
                    <w:tr2bl w:val="nil"/>
                  </w:tcBorders>
                  <w:tcMar>
                    <w:top w:w="50" w:type="dxa"/>
                    <w:left w:w="50" w:type="dxa"/>
                    <w:bottom w:w="50" w:type="dxa"/>
                    <w:right w:w="50" w:type="dxa"/>
                  </w:tcMar>
                  <w:vAlign w:val="center"/>
                </w:tcPr>
                <w:p w14:paraId="2424A7E2">
                  <w:pPr>
                    <w:pStyle w:val="16"/>
                    <w:rPr>
                      <w:color w:val="auto"/>
                    </w:rPr>
                  </w:pPr>
                  <w:r>
                    <w:rPr>
                      <w:color w:val="auto"/>
                    </w:rPr>
                    <w:t>巴中市通江县</w:t>
                  </w:r>
                </w:p>
              </w:tc>
              <w:tc>
                <w:tcPr>
                  <w:tcW w:w="1127" w:type="dxa"/>
                  <w:tcBorders>
                    <w:tl2br w:val="nil"/>
                    <w:tr2bl w:val="nil"/>
                  </w:tcBorders>
                  <w:tcMar>
                    <w:top w:w="50" w:type="dxa"/>
                    <w:left w:w="50" w:type="dxa"/>
                    <w:bottom w:w="50" w:type="dxa"/>
                    <w:right w:w="50" w:type="dxa"/>
                  </w:tcMar>
                  <w:vAlign w:val="center"/>
                </w:tcPr>
                <w:p w14:paraId="2D4947F8">
                  <w:pPr>
                    <w:pStyle w:val="16"/>
                    <w:rPr>
                      <w:color w:val="auto"/>
                    </w:rPr>
                  </w:pPr>
                  <w:r>
                    <w:rPr>
                      <w:color w:val="auto"/>
                    </w:rPr>
                    <w:t>一般管控单元</w:t>
                  </w:r>
                </w:p>
              </w:tc>
            </w:tr>
          </w:tbl>
          <w:p w14:paraId="06494076">
            <w:pPr>
              <w:ind w:firstLine="480"/>
              <w:rPr>
                <w:color w:val="auto"/>
              </w:rPr>
            </w:pPr>
            <w:r>
              <w:rPr>
                <w:rFonts w:hint="eastAsia"/>
                <w:color w:val="auto"/>
              </w:rPr>
              <w:t>本项目涉及的环境要素管控分区有8个，分别是：</w:t>
            </w:r>
          </w:p>
          <w:p w14:paraId="433AA963">
            <w:pPr>
              <w:pStyle w:val="17"/>
              <w:rPr>
                <w:rFonts w:hint="default"/>
                <w:color w:val="auto"/>
              </w:rPr>
            </w:pPr>
            <w:r>
              <w:rPr>
                <w:color w:val="auto"/>
              </w:rPr>
              <w:t>表1-10 本项目涉及的环境要素管控分区</w:t>
            </w:r>
          </w:p>
          <w:tbl>
            <w:tblPr>
              <w:tblStyle w:val="12"/>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749"/>
              <w:gridCol w:w="1677"/>
              <w:gridCol w:w="2371"/>
              <w:gridCol w:w="1071"/>
              <w:gridCol w:w="1073"/>
              <w:gridCol w:w="1638"/>
            </w:tblGrid>
            <w:tr w14:paraId="499A25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3C810F7C">
                  <w:pPr>
                    <w:pStyle w:val="16"/>
                    <w:jc w:val="center"/>
                    <w:rPr>
                      <w:color w:val="auto"/>
                    </w:rPr>
                  </w:pPr>
                  <w:r>
                    <w:rPr>
                      <w:color w:val="auto"/>
                    </w:rPr>
                    <w:t>序号</w:t>
                  </w:r>
                </w:p>
              </w:tc>
              <w:tc>
                <w:tcPr>
                  <w:tcW w:w="1677" w:type="dxa"/>
                  <w:tcBorders>
                    <w:tl2br w:val="nil"/>
                    <w:tr2bl w:val="nil"/>
                  </w:tcBorders>
                  <w:tcMar>
                    <w:top w:w="50" w:type="dxa"/>
                    <w:left w:w="50" w:type="dxa"/>
                    <w:bottom w:w="50" w:type="dxa"/>
                    <w:right w:w="50" w:type="dxa"/>
                  </w:tcMar>
                  <w:vAlign w:val="center"/>
                </w:tcPr>
                <w:p w14:paraId="3E3BDDB1">
                  <w:pPr>
                    <w:pStyle w:val="16"/>
                    <w:jc w:val="center"/>
                    <w:rPr>
                      <w:color w:val="auto"/>
                    </w:rPr>
                  </w:pPr>
                  <w:r>
                    <w:rPr>
                      <w:color w:val="auto"/>
                    </w:rPr>
                    <w:t>涉及环境要素管控分区名称</w:t>
                  </w:r>
                </w:p>
              </w:tc>
              <w:tc>
                <w:tcPr>
                  <w:tcW w:w="2371" w:type="dxa"/>
                  <w:tcBorders>
                    <w:tl2br w:val="nil"/>
                    <w:tr2bl w:val="nil"/>
                  </w:tcBorders>
                  <w:tcMar>
                    <w:top w:w="50" w:type="dxa"/>
                    <w:left w:w="50" w:type="dxa"/>
                    <w:bottom w:w="50" w:type="dxa"/>
                    <w:right w:w="50" w:type="dxa"/>
                  </w:tcMar>
                  <w:vAlign w:val="center"/>
                </w:tcPr>
                <w:p w14:paraId="19B49A62">
                  <w:pPr>
                    <w:pStyle w:val="16"/>
                    <w:jc w:val="center"/>
                    <w:rPr>
                      <w:color w:val="auto"/>
                    </w:rPr>
                  </w:pPr>
                  <w:r>
                    <w:rPr>
                      <w:color w:val="auto"/>
                    </w:rPr>
                    <w:t>涉及环境要素管控分区编码</w:t>
                  </w:r>
                </w:p>
              </w:tc>
              <w:tc>
                <w:tcPr>
                  <w:tcW w:w="1071" w:type="dxa"/>
                  <w:tcBorders>
                    <w:tl2br w:val="nil"/>
                    <w:tr2bl w:val="nil"/>
                  </w:tcBorders>
                  <w:tcMar>
                    <w:top w:w="50" w:type="dxa"/>
                    <w:left w:w="50" w:type="dxa"/>
                    <w:bottom w:w="50" w:type="dxa"/>
                    <w:right w:w="50" w:type="dxa"/>
                  </w:tcMar>
                  <w:vAlign w:val="center"/>
                </w:tcPr>
                <w:p w14:paraId="4093553A">
                  <w:pPr>
                    <w:pStyle w:val="16"/>
                    <w:jc w:val="center"/>
                    <w:rPr>
                      <w:color w:val="auto"/>
                    </w:rPr>
                  </w:pPr>
                  <w:r>
                    <w:rPr>
                      <w:color w:val="auto"/>
                    </w:rPr>
                    <w:t>行政区划</w:t>
                  </w:r>
                </w:p>
              </w:tc>
              <w:tc>
                <w:tcPr>
                  <w:tcW w:w="1073" w:type="dxa"/>
                  <w:tcBorders>
                    <w:tl2br w:val="nil"/>
                    <w:tr2bl w:val="nil"/>
                  </w:tcBorders>
                  <w:tcMar>
                    <w:top w:w="50" w:type="dxa"/>
                    <w:left w:w="50" w:type="dxa"/>
                    <w:bottom w:w="50" w:type="dxa"/>
                    <w:right w:w="50" w:type="dxa"/>
                  </w:tcMar>
                  <w:vAlign w:val="center"/>
                </w:tcPr>
                <w:p w14:paraId="6F3971AD">
                  <w:pPr>
                    <w:pStyle w:val="16"/>
                    <w:jc w:val="center"/>
                    <w:rPr>
                      <w:color w:val="auto"/>
                    </w:rPr>
                  </w:pPr>
                  <w:r>
                    <w:rPr>
                      <w:color w:val="auto"/>
                    </w:rPr>
                    <w:t>环境要素类型</w:t>
                  </w:r>
                </w:p>
              </w:tc>
              <w:tc>
                <w:tcPr>
                  <w:tcW w:w="1638" w:type="dxa"/>
                  <w:tcBorders>
                    <w:tl2br w:val="nil"/>
                    <w:tr2bl w:val="nil"/>
                  </w:tcBorders>
                  <w:tcMar>
                    <w:top w:w="50" w:type="dxa"/>
                    <w:left w:w="50" w:type="dxa"/>
                    <w:bottom w:w="50" w:type="dxa"/>
                    <w:right w:w="50" w:type="dxa"/>
                  </w:tcMar>
                  <w:vAlign w:val="center"/>
                </w:tcPr>
                <w:p w14:paraId="09CAF15D">
                  <w:pPr>
                    <w:pStyle w:val="16"/>
                    <w:jc w:val="center"/>
                    <w:rPr>
                      <w:color w:val="auto"/>
                    </w:rPr>
                  </w:pPr>
                  <w:r>
                    <w:rPr>
                      <w:color w:val="auto"/>
                    </w:rPr>
                    <w:t>环境要素细类</w:t>
                  </w:r>
                </w:p>
              </w:tc>
            </w:tr>
            <w:tr w14:paraId="1C2F4A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399C5EA3">
                  <w:pPr>
                    <w:pStyle w:val="16"/>
                    <w:jc w:val="center"/>
                    <w:rPr>
                      <w:color w:val="auto"/>
                    </w:rPr>
                  </w:pPr>
                  <w:r>
                    <w:rPr>
                      <w:color w:val="auto"/>
                    </w:rPr>
                    <w:t>1</w:t>
                  </w:r>
                </w:p>
              </w:tc>
              <w:tc>
                <w:tcPr>
                  <w:tcW w:w="1677" w:type="dxa"/>
                  <w:tcBorders>
                    <w:tl2br w:val="nil"/>
                    <w:tr2bl w:val="nil"/>
                  </w:tcBorders>
                  <w:tcMar>
                    <w:top w:w="50" w:type="dxa"/>
                    <w:left w:w="50" w:type="dxa"/>
                    <w:bottom w:w="50" w:type="dxa"/>
                    <w:right w:w="50" w:type="dxa"/>
                  </w:tcMar>
                  <w:vAlign w:val="center"/>
                </w:tcPr>
                <w:p w14:paraId="3EE75839">
                  <w:pPr>
                    <w:pStyle w:val="16"/>
                    <w:rPr>
                      <w:color w:val="auto"/>
                    </w:rPr>
                  </w:pPr>
                  <w:r>
                    <w:rPr>
                      <w:color w:val="auto"/>
                    </w:rPr>
                    <w:t>通江县城镇集中建设区</w:t>
                  </w:r>
                </w:p>
              </w:tc>
              <w:tc>
                <w:tcPr>
                  <w:tcW w:w="2371" w:type="dxa"/>
                  <w:tcBorders>
                    <w:tl2br w:val="nil"/>
                    <w:tr2bl w:val="nil"/>
                  </w:tcBorders>
                  <w:tcMar>
                    <w:top w:w="50" w:type="dxa"/>
                    <w:left w:w="50" w:type="dxa"/>
                    <w:bottom w:w="50" w:type="dxa"/>
                    <w:right w:w="50" w:type="dxa"/>
                  </w:tcMar>
                  <w:vAlign w:val="center"/>
                </w:tcPr>
                <w:p w14:paraId="4C3067B6">
                  <w:pPr>
                    <w:pStyle w:val="16"/>
                    <w:jc w:val="center"/>
                    <w:rPr>
                      <w:color w:val="auto"/>
                    </w:rPr>
                  </w:pPr>
                  <w:r>
                    <w:rPr>
                      <w:color w:val="auto"/>
                    </w:rPr>
                    <w:t>YS5119212340001</w:t>
                  </w:r>
                </w:p>
              </w:tc>
              <w:tc>
                <w:tcPr>
                  <w:tcW w:w="1071" w:type="dxa"/>
                  <w:tcBorders>
                    <w:tl2br w:val="nil"/>
                    <w:tr2bl w:val="nil"/>
                  </w:tcBorders>
                  <w:tcMar>
                    <w:top w:w="50" w:type="dxa"/>
                    <w:left w:w="50" w:type="dxa"/>
                    <w:bottom w:w="50" w:type="dxa"/>
                    <w:right w:w="50" w:type="dxa"/>
                  </w:tcMar>
                  <w:vAlign w:val="center"/>
                </w:tcPr>
                <w:p w14:paraId="78078542">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53903481">
                  <w:pPr>
                    <w:pStyle w:val="16"/>
                    <w:jc w:val="center"/>
                    <w:rPr>
                      <w:color w:val="auto"/>
                    </w:rPr>
                  </w:pPr>
                  <w:r>
                    <w:rPr>
                      <w:color w:val="auto"/>
                    </w:rPr>
                    <w:t>大气</w:t>
                  </w:r>
                </w:p>
              </w:tc>
              <w:tc>
                <w:tcPr>
                  <w:tcW w:w="1638" w:type="dxa"/>
                  <w:tcBorders>
                    <w:tl2br w:val="nil"/>
                    <w:tr2bl w:val="nil"/>
                  </w:tcBorders>
                  <w:tcMar>
                    <w:top w:w="50" w:type="dxa"/>
                    <w:left w:w="50" w:type="dxa"/>
                    <w:bottom w:w="50" w:type="dxa"/>
                    <w:right w:w="50" w:type="dxa"/>
                  </w:tcMar>
                  <w:vAlign w:val="center"/>
                </w:tcPr>
                <w:p w14:paraId="5E3B18B2">
                  <w:pPr>
                    <w:pStyle w:val="16"/>
                    <w:rPr>
                      <w:color w:val="auto"/>
                    </w:rPr>
                  </w:pPr>
                  <w:r>
                    <w:rPr>
                      <w:color w:val="auto"/>
                    </w:rPr>
                    <w:t>大气环境受体敏感重点管控区</w:t>
                  </w:r>
                </w:p>
              </w:tc>
            </w:tr>
            <w:tr w14:paraId="4F220B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5D523774">
                  <w:pPr>
                    <w:pStyle w:val="16"/>
                    <w:jc w:val="center"/>
                    <w:rPr>
                      <w:color w:val="auto"/>
                    </w:rPr>
                  </w:pPr>
                  <w:r>
                    <w:rPr>
                      <w:color w:val="auto"/>
                    </w:rPr>
                    <w:t>2</w:t>
                  </w:r>
                </w:p>
              </w:tc>
              <w:tc>
                <w:tcPr>
                  <w:tcW w:w="1677" w:type="dxa"/>
                  <w:tcBorders>
                    <w:tl2br w:val="nil"/>
                    <w:tr2bl w:val="nil"/>
                  </w:tcBorders>
                  <w:tcMar>
                    <w:top w:w="50" w:type="dxa"/>
                    <w:left w:w="50" w:type="dxa"/>
                    <w:bottom w:w="50" w:type="dxa"/>
                    <w:right w:w="50" w:type="dxa"/>
                  </w:tcMar>
                  <w:vAlign w:val="center"/>
                </w:tcPr>
                <w:p w14:paraId="36264957">
                  <w:pPr>
                    <w:pStyle w:val="16"/>
                    <w:rPr>
                      <w:color w:val="auto"/>
                    </w:rPr>
                  </w:pPr>
                  <w:r>
                    <w:rPr>
                      <w:color w:val="auto"/>
                    </w:rPr>
                    <w:t>通江县城镇开发边界</w:t>
                  </w:r>
                </w:p>
              </w:tc>
              <w:tc>
                <w:tcPr>
                  <w:tcW w:w="2371" w:type="dxa"/>
                  <w:tcBorders>
                    <w:tl2br w:val="nil"/>
                    <w:tr2bl w:val="nil"/>
                  </w:tcBorders>
                  <w:tcMar>
                    <w:top w:w="50" w:type="dxa"/>
                    <w:left w:w="50" w:type="dxa"/>
                    <w:bottom w:w="50" w:type="dxa"/>
                    <w:right w:w="50" w:type="dxa"/>
                  </w:tcMar>
                  <w:vAlign w:val="center"/>
                </w:tcPr>
                <w:p w14:paraId="75D84D2B">
                  <w:pPr>
                    <w:pStyle w:val="16"/>
                    <w:jc w:val="center"/>
                    <w:rPr>
                      <w:color w:val="auto"/>
                    </w:rPr>
                  </w:pPr>
                  <w:r>
                    <w:rPr>
                      <w:color w:val="auto"/>
                    </w:rPr>
                    <w:t>YS5119212530001</w:t>
                  </w:r>
                </w:p>
              </w:tc>
              <w:tc>
                <w:tcPr>
                  <w:tcW w:w="1071" w:type="dxa"/>
                  <w:tcBorders>
                    <w:tl2br w:val="nil"/>
                    <w:tr2bl w:val="nil"/>
                  </w:tcBorders>
                  <w:tcMar>
                    <w:top w:w="50" w:type="dxa"/>
                    <w:left w:w="50" w:type="dxa"/>
                    <w:bottom w:w="50" w:type="dxa"/>
                    <w:right w:w="50" w:type="dxa"/>
                  </w:tcMar>
                  <w:vAlign w:val="center"/>
                </w:tcPr>
                <w:p w14:paraId="06155E2A">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7CCA2854">
                  <w:pPr>
                    <w:pStyle w:val="16"/>
                    <w:jc w:val="center"/>
                    <w:rPr>
                      <w:color w:val="auto"/>
                    </w:rPr>
                  </w:pPr>
                  <w:r>
                    <w:rPr>
                      <w:color w:val="auto"/>
                    </w:rPr>
                    <w:t>自然资源</w:t>
                  </w:r>
                </w:p>
              </w:tc>
              <w:tc>
                <w:tcPr>
                  <w:tcW w:w="1638" w:type="dxa"/>
                  <w:tcBorders>
                    <w:tl2br w:val="nil"/>
                    <w:tr2bl w:val="nil"/>
                  </w:tcBorders>
                  <w:tcMar>
                    <w:top w:w="50" w:type="dxa"/>
                    <w:left w:w="50" w:type="dxa"/>
                    <w:bottom w:w="50" w:type="dxa"/>
                    <w:right w:w="50" w:type="dxa"/>
                  </w:tcMar>
                  <w:vAlign w:val="center"/>
                </w:tcPr>
                <w:p w14:paraId="727A0BC2">
                  <w:pPr>
                    <w:pStyle w:val="16"/>
                    <w:rPr>
                      <w:color w:val="auto"/>
                    </w:rPr>
                  </w:pPr>
                  <w:r>
                    <w:rPr>
                      <w:color w:val="auto"/>
                    </w:rPr>
                    <w:t>土地资源重点管控区</w:t>
                  </w:r>
                </w:p>
              </w:tc>
            </w:tr>
            <w:tr w14:paraId="6A2055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681B9CD2">
                  <w:pPr>
                    <w:pStyle w:val="16"/>
                    <w:jc w:val="center"/>
                    <w:rPr>
                      <w:color w:val="auto"/>
                    </w:rPr>
                  </w:pPr>
                  <w:r>
                    <w:rPr>
                      <w:color w:val="auto"/>
                    </w:rPr>
                    <w:t>3</w:t>
                  </w:r>
                </w:p>
              </w:tc>
              <w:tc>
                <w:tcPr>
                  <w:tcW w:w="1677" w:type="dxa"/>
                  <w:tcBorders>
                    <w:tl2br w:val="nil"/>
                    <w:tr2bl w:val="nil"/>
                  </w:tcBorders>
                  <w:tcMar>
                    <w:top w:w="50" w:type="dxa"/>
                    <w:left w:w="50" w:type="dxa"/>
                    <w:bottom w:w="50" w:type="dxa"/>
                    <w:right w:w="50" w:type="dxa"/>
                  </w:tcMar>
                  <w:vAlign w:val="center"/>
                </w:tcPr>
                <w:p w14:paraId="065C058D">
                  <w:pPr>
                    <w:pStyle w:val="16"/>
                    <w:rPr>
                      <w:color w:val="auto"/>
                    </w:rPr>
                  </w:pPr>
                  <w:r>
                    <w:rPr>
                      <w:color w:val="auto"/>
                    </w:rPr>
                    <w:t>通江县自然资源重点管控区</w:t>
                  </w:r>
                </w:p>
              </w:tc>
              <w:tc>
                <w:tcPr>
                  <w:tcW w:w="2371" w:type="dxa"/>
                  <w:tcBorders>
                    <w:tl2br w:val="nil"/>
                    <w:tr2bl w:val="nil"/>
                  </w:tcBorders>
                  <w:tcMar>
                    <w:top w:w="50" w:type="dxa"/>
                    <w:left w:w="50" w:type="dxa"/>
                    <w:bottom w:w="50" w:type="dxa"/>
                    <w:right w:w="50" w:type="dxa"/>
                  </w:tcMar>
                  <w:vAlign w:val="center"/>
                </w:tcPr>
                <w:p w14:paraId="134D9CDC">
                  <w:pPr>
                    <w:pStyle w:val="16"/>
                    <w:jc w:val="center"/>
                    <w:rPr>
                      <w:color w:val="auto"/>
                    </w:rPr>
                  </w:pPr>
                  <w:r>
                    <w:rPr>
                      <w:color w:val="auto"/>
                    </w:rPr>
                    <w:t>YS5119212550001</w:t>
                  </w:r>
                </w:p>
              </w:tc>
              <w:tc>
                <w:tcPr>
                  <w:tcW w:w="1071" w:type="dxa"/>
                  <w:tcBorders>
                    <w:tl2br w:val="nil"/>
                    <w:tr2bl w:val="nil"/>
                  </w:tcBorders>
                  <w:tcMar>
                    <w:top w:w="50" w:type="dxa"/>
                    <w:left w:w="50" w:type="dxa"/>
                    <w:bottom w:w="50" w:type="dxa"/>
                    <w:right w:w="50" w:type="dxa"/>
                  </w:tcMar>
                  <w:vAlign w:val="center"/>
                </w:tcPr>
                <w:p w14:paraId="238764F6">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1C38FE52">
                  <w:pPr>
                    <w:pStyle w:val="16"/>
                    <w:jc w:val="center"/>
                    <w:rPr>
                      <w:color w:val="auto"/>
                    </w:rPr>
                  </w:pPr>
                  <w:r>
                    <w:rPr>
                      <w:color w:val="auto"/>
                    </w:rPr>
                    <w:t>自然资源</w:t>
                  </w:r>
                </w:p>
              </w:tc>
              <w:tc>
                <w:tcPr>
                  <w:tcW w:w="1638" w:type="dxa"/>
                  <w:tcBorders>
                    <w:tl2br w:val="nil"/>
                    <w:tr2bl w:val="nil"/>
                  </w:tcBorders>
                  <w:tcMar>
                    <w:top w:w="50" w:type="dxa"/>
                    <w:left w:w="50" w:type="dxa"/>
                    <w:bottom w:w="50" w:type="dxa"/>
                    <w:right w:w="50" w:type="dxa"/>
                  </w:tcMar>
                  <w:vAlign w:val="center"/>
                </w:tcPr>
                <w:p w14:paraId="5181582B">
                  <w:pPr>
                    <w:pStyle w:val="16"/>
                    <w:rPr>
                      <w:color w:val="auto"/>
                    </w:rPr>
                  </w:pPr>
                  <w:r>
                    <w:rPr>
                      <w:color w:val="auto"/>
                    </w:rPr>
                    <w:t>自然资源重点管控区</w:t>
                  </w:r>
                </w:p>
              </w:tc>
            </w:tr>
            <w:tr w14:paraId="739ABB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7574F8C2">
                  <w:pPr>
                    <w:pStyle w:val="16"/>
                    <w:jc w:val="center"/>
                    <w:rPr>
                      <w:color w:val="auto"/>
                    </w:rPr>
                  </w:pPr>
                  <w:r>
                    <w:rPr>
                      <w:color w:val="auto"/>
                    </w:rPr>
                    <w:t>4</w:t>
                  </w:r>
                </w:p>
              </w:tc>
              <w:tc>
                <w:tcPr>
                  <w:tcW w:w="1677" w:type="dxa"/>
                  <w:tcBorders>
                    <w:tl2br w:val="nil"/>
                    <w:tr2bl w:val="nil"/>
                  </w:tcBorders>
                  <w:tcMar>
                    <w:top w:w="50" w:type="dxa"/>
                    <w:left w:w="50" w:type="dxa"/>
                    <w:bottom w:w="50" w:type="dxa"/>
                    <w:right w:w="50" w:type="dxa"/>
                  </w:tcMar>
                  <w:vAlign w:val="center"/>
                </w:tcPr>
                <w:p w14:paraId="23781481">
                  <w:pPr>
                    <w:pStyle w:val="16"/>
                    <w:rPr>
                      <w:color w:val="auto"/>
                    </w:rPr>
                  </w:pPr>
                  <w:r>
                    <w:rPr>
                      <w:color w:val="auto"/>
                    </w:rPr>
                    <w:t>通江县其他区域</w:t>
                  </w:r>
                </w:p>
              </w:tc>
              <w:tc>
                <w:tcPr>
                  <w:tcW w:w="2371" w:type="dxa"/>
                  <w:tcBorders>
                    <w:tl2br w:val="nil"/>
                    <w:tr2bl w:val="nil"/>
                  </w:tcBorders>
                  <w:tcMar>
                    <w:top w:w="50" w:type="dxa"/>
                    <w:left w:w="50" w:type="dxa"/>
                    <w:bottom w:w="50" w:type="dxa"/>
                    <w:right w:w="50" w:type="dxa"/>
                  </w:tcMar>
                  <w:vAlign w:val="center"/>
                </w:tcPr>
                <w:p w14:paraId="50B74D3D">
                  <w:pPr>
                    <w:pStyle w:val="16"/>
                    <w:jc w:val="center"/>
                    <w:rPr>
                      <w:color w:val="auto"/>
                    </w:rPr>
                  </w:pPr>
                  <w:r>
                    <w:rPr>
                      <w:color w:val="auto"/>
                    </w:rPr>
                    <w:t>YS5119213110001</w:t>
                  </w:r>
                </w:p>
              </w:tc>
              <w:tc>
                <w:tcPr>
                  <w:tcW w:w="1071" w:type="dxa"/>
                  <w:tcBorders>
                    <w:tl2br w:val="nil"/>
                    <w:tr2bl w:val="nil"/>
                  </w:tcBorders>
                  <w:tcMar>
                    <w:top w:w="50" w:type="dxa"/>
                    <w:left w:w="50" w:type="dxa"/>
                    <w:bottom w:w="50" w:type="dxa"/>
                    <w:right w:w="50" w:type="dxa"/>
                  </w:tcMar>
                  <w:vAlign w:val="center"/>
                </w:tcPr>
                <w:p w14:paraId="231AF5BA">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5C51AEDE">
                  <w:pPr>
                    <w:pStyle w:val="16"/>
                    <w:jc w:val="center"/>
                    <w:rPr>
                      <w:color w:val="auto"/>
                    </w:rPr>
                  </w:pPr>
                  <w:r>
                    <w:rPr>
                      <w:color w:val="auto"/>
                    </w:rPr>
                    <w:t>生态</w:t>
                  </w:r>
                </w:p>
              </w:tc>
              <w:tc>
                <w:tcPr>
                  <w:tcW w:w="1638" w:type="dxa"/>
                  <w:tcBorders>
                    <w:tl2br w:val="nil"/>
                    <w:tr2bl w:val="nil"/>
                  </w:tcBorders>
                  <w:tcMar>
                    <w:top w:w="50" w:type="dxa"/>
                    <w:left w:w="50" w:type="dxa"/>
                    <w:bottom w:w="50" w:type="dxa"/>
                    <w:right w:w="50" w:type="dxa"/>
                  </w:tcMar>
                  <w:vAlign w:val="center"/>
                </w:tcPr>
                <w:p w14:paraId="44AE73BC">
                  <w:pPr>
                    <w:pStyle w:val="16"/>
                    <w:rPr>
                      <w:color w:val="auto"/>
                    </w:rPr>
                  </w:pPr>
                  <w:r>
                    <w:rPr>
                      <w:color w:val="auto"/>
                    </w:rPr>
                    <w:t>一般管控区</w:t>
                  </w:r>
                </w:p>
              </w:tc>
            </w:tr>
            <w:tr w14:paraId="798B36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120AA86E">
                  <w:pPr>
                    <w:pStyle w:val="16"/>
                    <w:jc w:val="center"/>
                    <w:rPr>
                      <w:color w:val="auto"/>
                    </w:rPr>
                  </w:pPr>
                  <w:r>
                    <w:rPr>
                      <w:color w:val="auto"/>
                    </w:rPr>
                    <w:t>5</w:t>
                  </w:r>
                </w:p>
              </w:tc>
              <w:tc>
                <w:tcPr>
                  <w:tcW w:w="1677" w:type="dxa"/>
                  <w:tcBorders>
                    <w:tl2br w:val="nil"/>
                    <w:tr2bl w:val="nil"/>
                  </w:tcBorders>
                  <w:tcMar>
                    <w:top w:w="50" w:type="dxa"/>
                    <w:left w:w="50" w:type="dxa"/>
                    <w:bottom w:w="50" w:type="dxa"/>
                    <w:right w:w="50" w:type="dxa"/>
                  </w:tcMar>
                  <w:vAlign w:val="center"/>
                </w:tcPr>
                <w:p w14:paraId="3DEC2EBF">
                  <w:pPr>
                    <w:pStyle w:val="16"/>
                    <w:rPr>
                      <w:color w:val="auto"/>
                    </w:rPr>
                  </w:pPr>
                  <w:r>
                    <w:rPr>
                      <w:color w:val="auto"/>
                    </w:rPr>
                    <w:t>巴河-通江县-江陵-控制单元</w:t>
                  </w:r>
                </w:p>
              </w:tc>
              <w:tc>
                <w:tcPr>
                  <w:tcW w:w="2371" w:type="dxa"/>
                  <w:tcBorders>
                    <w:tl2br w:val="nil"/>
                    <w:tr2bl w:val="nil"/>
                  </w:tcBorders>
                  <w:tcMar>
                    <w:top w:w="50" w:type="dxa"/>
                    <w:left w:w="50" w:type="dxa"/>
                    <w:bottom w:w="50" w:type="dxa"/>
                    <w:right w:w="50" w:type="dxa"/>
                  </w:tcMar>
                  <w:vAlign w:val="center"/>
                </w:tcPr>
                <w:p w14:paraId="28CA245D">
                  <w:pPr>
                    <w:pStyle w:val="16"/>
                    <w:jc w:val="center"/>
                    <w:rPr>
                      <w:color w:val="auto"/>
                    </w:rPr>
                  </w:pPr>
                  <w:r>
                    <w:rPr>
                      <w:color w:val="auto"/>
                    </w:rPr>
                    <w:t>YS5119213210001</w:t>
                  </w:r>
                </w:p>
              </w:tc>
              <w:tc>
                <w:tcPr>
                  <w:tcW w:w="1071" w:type="dxa"/>
                  <w:tcBorders>
                    <w:tl2br w:val="nil"/>
                    <w:tr2bl w:val="nil"/>
                  </w:tcBorders>
                  <w:tcMar>
                    <w:top w:w="50" w:type="dxa"/>
                    <w:left w:w="50" w:type="dxa"/>
                    <w:bottom w:w="50" w:type="dxa"/>
                    <w:right w:w="50" w:type="dxa"/>
                  </w:tcMar>
                  <w:vAlign w:val="center"/>
                </w:tcPr>
                <w:p w14:paraId="6DE1C87E">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09D57945">
                  <w:pPr>
                    <w:pStyle w:val="16"/>
                    <w:jc w:val="center"/>
                    <w:rPr>
                      <w:color w:val="auto"/>
                    </w:rPr>
                  </w:pPr>
                  <w:r>
                    <w:rPr>
                      <w:color w:val="auto"/>
                    </w:rPr>
                    <w:t>水</w:t>
                  </w:r>
                </w:p>
              </w:tc>
              <w:tc>
                <w:tcPr>
                  <w:tcW w:w="1638" w:type="dxa"/>
                  <w:tcBorders>
                    <w:tl2br w:val="nil"/>
                    <w:tr2bl w:val="nil"/>
                  </w:tcBorders>
                  <w:tcMar>
                    <w:top w:w="50" w:type="dxa"/>
                    <w:left w:w="50" w:type="dxa"/>
                    <w:bottom w:w="50" w:type="dxa"/>
                    <w:right w:w="50" w:type="dxa"/>
                  </w:tcMar>
                  <w:vAlign w:val="center"/>
                </w:tcPr>
                <w:p w14:paraId="5D9A0A55">
                  <w:pPr>
                    <w:pStyle w:val="16"/>
                    <w:rPr>
                      <w:color w:val="auto"/>
                    </w:rPr>
                  </w:pPr>
                  <w:r>
                    <w:rPr>
                      <w:color w:val="auto"/>
                    </w:rPr>
                    <w:t>水环境一般管控区</w:t>
                  </w:r>
                </w:p>
              </w:tc>
            </w:tr>
            <w:tr w14:paraId="5CAFDA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6CB86043">
                  <w:pPr>
                    <w:pStyle w:val="16"/>
                    <w:jc w:val="center"/>
                    <w:rPr>
                      <w:color w:val="auto"/>
                    </w:rPr>
                  </w:pPr>
                  <w:r>
                    <w:rPr>
                      <w:color w:val="auto"/>
                    </w:rPr>
                    <w:t>6</w:t>
                  </w:r>
                </w:p>
              </w:tc>
              <w:tc>
                <w:tcPr>
                  <w:tcW w:w="1677" w:type="dxa"/>
                  <w:tcBorders>
                    <w:tl2br w:val="nil"/>
                    <w:tr2bl w:val="nil"/>
                  </w:tcBorders>
                  <w:tcMar>
                    <w:top w:w="50" w:type="dxa"/>
                    <w:left w:w="50" w:type="dxa"/>
                    <w:bottom w:w="50" w:type="dxa"/>
                    <w:right w:w="50" w:type="dxa"/>
                  </w:tcMar>
                  <w:vAlign w:val="center"/>
                </w:tcPr>
                <w:p w14:paraId="7851EE96">
                  <w:pPr>
                    <w:pStyle w:val="16"/>
                    <w:rPr>
                      <w:color w:val="auto"/>
                    </w:rPr>
                  </w:pPr>
                  <w:r>
                    <w:rPr>
                      <w:color w:val="auto"/>
                    </w:rPr>
                    <w:t>通江-通江县-纳溪口-控制单元</w:t>
                  </w:r>
                </w:p>
              </w:tc>
              <w:tc>
                <w:tcPr>
                  <w:tcW w:w="2371" w:type="dxa"/>
                  <w:tcBorders>
                    <w:tl2br w:val="nil"/>
                    <w:tr2bl w:val="nil"/>
                  </w:tcBorders>
                  <w:tcMar>
                    <w:top w:w="50" w:type="dxa"/>
                    <w:left w:w="50" w:type="dxa"/>
                    <w:bottom w:w="50" w:type="dxa"/>
                    <w:right w:w="50" w:type="dxa"/>
                  </w:tcMar>
                  <w:vAlign w:val="center"/>
                </w:tcPr>
                <w:p w14:paraId="7A3AE142">
                  <w:pPr>
                    <w:pStyle w:val="16"/>
                    <w:jc w:val="center"/>
                    <w:rPr>
                      <w:color w:val="auto"/>
                    </w:rPr>
                  </w:pPr>
                  <w:r>
                    <w:rPr>
                      <w:color w:val="auto"/>
                    </w:rPr>
                    <w:t>YS5119213210002</w:t>
                  </w:r>
                </w:p>
              </w:tc>
              <w:tc>
                <w:tcPr>
                  <w:tcW w:w="1071" w:type="dxa"/>
                  <w:tcBorders>
                    <w:tl2br w:val="nil"/>
                    <w:tr2bl w:val="nil"/>
                  </w:tcBorders>
                  <w:tcMar>
                    <w:top w:w="50" w:type="dxa"/>
                    <w:left w:w="50" w:type="dxa"/>
                    <w:bottom w:w="50" w:type="dxa"/>
                    <w:right w:w="50" w:type="dxa"/>
                  </w:tcMar>
                  <w:vAlign w:val="center"/>
                </w:tcPr>
                <w:p w14:paraId="3FE0890D">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23F69D1A">
                  <w:pPr>
                    <w:pStyle w:val="16"/>
                    <w:jc w:val="center"/>
                    <w:rPr>
                      <w:color w:val="auto"/>
                    </w:rPr>
                  </w:pPr>
                  <w:r>
                    <w:rPr>
                      <w:color w:val="auto"/>
                    </w:rPr>
                    <w:t>水</w:t>
                  </w:r>
                </w:p>
              </w:tc>
              <w:tc>
                <w:tcPr>
                  <w:tcW w:w="1638" w:type="dxa"/>
                  <w:tcBorders>
                    <w:tl2br w:val="nil"/>
                    <w:tr2bl w:val="nil"/>
                  </w:tcBorders>
                  <w:tcMar>
                    <w:top w:w="50" w:type="dxa"/>
                    <w:left w:w="50" w:type="dxa"/>
                    <w:bottom w:w="50" w:type="dxa"/>
                    <w:right w:w="50" w:type="dxa"/>
                  </w:tcMar>
                  <w:vAlign w:val="center"/>
                </w:tcPr>
                <w:p w14:paraId="46F5BF11">
                  <w:pPr>
                    <w:pStyle w:val="16"/>
                    <w:rPr>
                      <w:color w:val="auto"/>
                    </w:rPr>
                  </w:pPr>
                  <w:r>
                    <w:rPr>
                      <w:color w:val="auto"/>
                    </w:rPr>
                    <w:t>水环境一般管控区</w:t>
                  </w:r>
                </w:p>
              </w:tc>
            </w:tr>
            <w:tr w14:paraId="335FA8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614ED2A3">
                  <w:pPr>
                    <w:pStyle w:val="16"/>
                    <w:jc w:val="center"/>
                    <w:rPr>
                      <w:color w:val="auto"/>
                    </w:rPr>
                  </w:pPr>
                  <w:r>
                    <w:rPr>
                      <w:color w:val="auto"/>
                    </w:rPr>
                    <w:t>7</w:t>
                  </w:r>
                </w:p>
              </w:tc>
              <w:tc>
                <w:tcPr>
                  <w:tcW w:w="1677" w:type="dxa"/>
                  <w:tcBorders>
                    <w:tl2br w:val="nil"/>
                    <w:tr2bl w:val="nil"/>
                  </w:tcBorders>
                  <w:tcMar>
                    <w:top w:w="50" w:type="dxa"/>
                    <w:left w:w="50" w:type="dxa"/>
                    <w:bottom w:w="50" w:type="dxa"/>
                    <w:right w:w="50" w:type="dxa"/>
                  </w:tcMar>
                  <w:vAlign w:val="center"/>
                </w:tcPr>
                <w:p w14:paraId="27F3A416">
                  <w:pPr>
                    <w:pStyle w:val="16"/>
                    <w:rPr>
                      <w:color w:val="auto"/>
                    </w:rPr>
                  </w:pPr>
                  <w:r>
                    <w:rPr>
                      <w:color w:val="auto"/>
                    </w:rPr>
                    <w:t>通江县大气环境一般管控区</w:t>
                  </w:r>
                </w:p>
              </w:tc>
              <w:tc>
                <w:tcPr>
                  <w:tcW w:w="2371" w:type="dxa"/>
                  <w:tcBorders>
                    <w:tl2br w:val="nil"/>
                    <w:tr2bl w:val="nil"/>
                  </w:tcBorders>
                  <w:tcMar>
                    <w:top w:w="50" w:type="dxa"/>
                    <w:left w:w="50" w:type="dxa"/>
                    <w:bottom w:w="50" w:type="dxa"/>
                    <w:right w:w="50" w:type="dxa"/>
                  </w:tcMar>
                  <w:vAlign w:val="center"/>
                </w:tcPr>
                <w:p w14:paraId="48EAB6E9">
                  <w:pPr>
                    <w:pStyle w:val="16"/>
                    <w:jc w:val="center"/>
                    <w:rPr>
                      <w:color w:val="auto"/>
                    </w:rPr>
                  </w:pPr>
                  <w:r>
                    <w:rPr>
                      <w:color w:val="auto"/>
                    </w:rPr>
                    <w:t>YS5119213310001</w:t>
                  </w:r>
                </w:p>
              </w:tc>
              <w:tc>
                <w:tcPr>
                  <w:tcW w:w="1071" w:type="dxa"/>
                  <w:tcBorders>
                    <w:tl2br w:val="nil"/>
                    <w:tr2bl w:val="nil"/>
                  </w:tcBorders>
                  <w:tcMar>
                    <w:top w:w="50" w:type="dxa"/>
                    <w:left w:w="50" w:type="dxa"/>
                    <w:bottom w:w="50" w:type="dxa"/>
                    <w:right w:w="50" w:type="dxa"/>
                  </w:tcMar>
                  <w:vAlign w:val="center"/>
                </w:tcPr>
                <w:p w14:paraId="6F77D718">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63839460">
                  <w:pPr>
                    <w:pStyle w:val="16"/>
                    <w:jc w:val="center"/>
                    <w:rPr>
                      <w:color w:val="auto"/>
                    </w:rPr>
                  </w:pPr>
                  <w:r>
                    <w:rPr>
                      <w:color w:val="auto"/>
                    </w:rPr>
                    <w:t>大气</w:t>
                  </w:r>
                </w:p>
              </w:tc>
              <w:tc>
                <w:tcPr>
                  <w:tcW w:w="1638" w:type="dxa"/>
                  <w:tcBorders>
                    <w:tl2br w:val="nil"/>
                    <w:tr2bl w:val="nil"/>
                  </w:tcBorders>
                  <w:tcMar>
                    <w:top w:w="50" w:type="dxa"/>
                    <w:left w:w="50" w:type="dxa"/>
                    <w:bottom w:w="50" w:type="dxa"/>
                    <w:right w:w="50" w:type="dxa"/>
                  </w:tcMar>
                  <w:vAlign w:val="center"/>
                </w:tcPr>
                <w:p w14:paraId="49E00D01">
                  <w:pPr>
                    <w:pStyle w:val="16"/>
                    <w:rPr>
                      <w:color w:val="auto"/>
                    </w:rPr>
                  </w:pPr>
                  <w:r>
                    <w:rPr>
                      <w:color w:val="auto"/>
                    </w:rPr>
                    <w:t>大气环境一般管控区</w:t>
                  </w:r>
                </w:p>
              </w:tc>
            </w:tr>
            <w:tr w14:paraId="68A7D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749" w:type="dxa"/>
                  <w:tcBorders>
                    <w:tl2br w:val="nil"/>
                    <w:tr2bl w:val="nil"/>
                  </w:tcBorders>
                  <w:tcMar>
                    <w:top w:w="50" w:type="dxa"/>
                    <w:left w:w="50" w:type="dxa"/>
                    <w:bottom w:w="50" w:type="dxa"/>
                    <w:right w:w="50" w:type="dxa"/>
                  </w:tcMar>
                  <w:vAlign w:val="center"/>
                </w:tcPr>
                <w:p w14:paraId="77E10DA0">
                  <w:pPr>
                    <w:pStyle w:val="16"/>
                    <w:jc w:val="center"/>
                    <w:rPr>
                      <w:color w:val="auto"/>
                    </w:rPr>
                  </w:pPr>
                  <w:r>
                    <w:rPr>
                      <w:color w:val="auto"/>
                    </w:rPr>
                    <w:t>8</w:t>
                  </w:r>
                </w:p>
              </w:tc>
              <w:tc>
                <w:tcPr>
                  <w:tcW w:w="1677" w:type="dxa"/>
                  <w:tcBorders>
                    <w:tl2br w:val="nil"/>
                    <w:tr2bl w:val="nil"/>
                  </w:tcBorders>
                  <w:tcMar>
                    <w:top w:w="50" w:type="dxa"/>
                    <w:left w:w="50" w:type="dxa"/>
                    <w:bottom w:w="50" w:type="dxa"/>
                    <w:right w:w="50" w:type="dxa"/>
                  </w:tcMar>
                  <w:vAlign w:val="center"/>
                </w:tcPr>
                <w:p w14:paraId="0FD4986E">
                  <w:pPr>
                    <w:pStyle w:val="16"/>
                    <w:rPr>
                      <w:color w:val="auto"/>
                    </w:rPr>
                  </w:pPr>
                  <w:r>
                    <w:rPr>
                      <w:color w:val="auto"/>
                    </w:rPr>
                    <w:t>通江县自然资源一般管控区</w:t>
                  </w:r>
                </w:p>
              </w:tc>
              <w:tc>
                <w:tcPr>
                  <w:tcW w:w="2371" w:type="dxa"/>
                  <w:tcBorders>
                    <w:tl2br w:val="nil"/>
                    <w:tr2bl w:val="nil"/>
                  </w:tcBorders>
                  <w:tcMar>
                    <w:top w:w="50" w:type="dxa"/>
                    <w:left w:w="50" w:type="dxa"/>
                    <w:bottom w:w="50" w:type="dxa"/>
                    <w:right w:w="50" w:type="dxa"/>
                  </w:tcMar>
                  <w:vAlign w:val="center"/>
                </w:tcPr>
                <w:p w14:paraId="69E87D9D">
                  <w:pPr>
                    <w:pStyle w:val="16"/>
                    <w:jc w:val="center"/>
                    <w:rPr>
                      <w:color w:val="auto"/>
                    </w:rPr>
                  </w:pPr>
                  <w:r>
                    <w:rPr>
                      <w:color w:val="auto"/>
                    </w:rPr>
                    <w:t>YS5119213510001</w:t>
                  </w:r>
                </w:p>
              </w:tc>
              <w:tc>
                <w:tcPr>
                  <w:tcW w:w="1071" w:type="dxa"/>
                  <w:tcBorders>
                    <w:tl2br w:val="nil"/>
                    <w:tr2bl w:val="nil"/>
                  </w:tcBorders>
                  <w:tcMar>
                    <w:top w:w="50" w:type="dxa"/>
                    <w:left w:w="50" w:type="dxa"/>
                    <w:bottom w:w="50" w:type="dxa"/>
                    <w:right w:w="50" w:type="dxa"/>
                  </w:tcMar>
                  <w:vAlign w:val="center"/>
                </w:tcPr>
                <w:p w14:paraId="1727DF15">
                  <w:pPr>
                    <w:pStyle w:val="16"/>
                    <w:rPr>
                      <w:color w:val="auto"/>
                    </w:rPr>
                  </w:pPr>
                  <w:r>
                    <w:rPr>
                      <w:color w:val="auto"/>
                    </w:rPr>
                    <w:t>巴中市通江县</w:t>
                  </w:r>
                </w:p>
              </w:tc>
              <w:tc>
                <w:tcPr>
                  <w:tcW w:w="1073" w:type="dxa"/>
                  <w:tcBorders>
                    <w:tl2br w:val="nil"/>
                    <w:tr2bl w:val="nil"/>
                  </w:tcBorders>
                  <w:tcMar>
                    <w:top w:w="50" w:type="dxa"/>
                    <w:left w:w="50" w:type="dxa"/>
                    <w:bottom w:w="50" w:type="dxa"/>
                    <w:right w:w="50" w:type="dxa"/>
                  </w:tcMar>
                  <w:vAlign w:val="center"/>
                </w:tcPr>
                <w:p w14:paraId="6FA5E372">
                  <w:pPr>
                    <w:pStyle w:val="16"/>
                    <w:jc w:val="center"/>
                    <w:rPr>
                      <w:color w:val="auto"/>
                    </w:rPr>
                  </w:pPr>
                  <w:r>
                    <w:rPr>
                      <w:color w:val="auto"/>
                    </w:rPr>
                    <w:t>自然资源</w:t>
                  </w:r>
                </w:p>
              </w:tc>
              <w:tc>
                <w:tcPr>
                  <w:tcW w:w="1638" w:type="dxa"/>
                  <w:tcBorders>
                    <w:tl2br w:val="nil"/>
                    <w:tr2bl w:val="nil"/>
                  </w:tcBorders>
                  <w:tcMar>
                    <w:top w:w="50" w:type="dxa"/>
                    <w:left w:w="50" w:type="dxa"/>
                    <w:bottom w:w="50" w:type="dxa"/>
                    <w:right w:w="50" w:type="dxa"/>
                  </w:tcMar>
                  <w:vAlign w:val="center"/>
                </w:tcPr>
                <w:p w14:paraId="4A137CCE">
                  <w:pPr>
                    <w:pStyle w:val="16"/>
                    <w:rPr>
                      <w:color w:val="auto"/>
                    </w:rPr>
                  </w:pPr>
                  <w:r>
                    <w:rPr>
                      <w:color w:val="auto"/>
                    </w:rPr>
                    <w:t>自然资源一般管控区</w:t>
                  </w:r>
                </w:p>
              </w:tc>
            </w:tr>
          </w:tbl>
          <w:p w14:paraId="09D75401">
            <w:pPr>
              <w:ind w:firstLine="482"/>
              <w:rPr>
                <w:b/>
                <w:bCs/>
                <w:color w:val="auto"/>
              </w:rPr>
            </w:pPr>
            <w:r>
              <w:rPr>
                <w:rFonts w:hint="eastAsia"/>
                <w:b/>
                <w:bCs/>
                <w:color w:val="auto"/>
              </w:rPr>
              <w:t>（2）项目位置信息</w:t>
            </w:r>
          </w:p>
          <w:p w14:paraId="24BE4FE8">
            <w:pPr>
              <w:ind w:firstLine="480"/>
              <w:rPr>
                <w:color w:val="auto"/>
              </w:rPr>
            </w:pPr>
            <w:r>
              <w:rPr>
                <w:color w:val="auto"/>
              </w:rPr>
              <w:t>该位置与生态环境管控单元的位置关系如下图：</w:t>
            </w:r>
          </w:p>
          <w:p w14:paraId="340C2AD5">
            <w:pPr>
              <w:ind w:firstLine="0" w:firstLineChars="0"/>
              <w:rPr>
                <w:color w:val="auto"/>
              </w:rPr>
            </w:pPr>
            <w:r>
              <w:rPr>
                <w:color w:val="auto"/>
              </w:rPr>
              <w:drawing>
                <wp:inline distT="0" distB="0" distL="114300" distR="114300">
                  <wp:extent cx="5442585" cy="2865755"/>
                  <wp:effectExtent l="0" t="0" r="5715" b="4445"/>
                  <wp:docPr id="4" name="图片 98" descr="地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8" descr="地图 (3)"/>
                          <pic:cNvPicPr>
                            <a:picLocks noChangeAspect="1"/>
                          </pic:cNvPicPr>
                        </pic:nvPicPr>
                        <pic:blipFill>
                          <a:blip r:embed="rId16"/>
                          <a:stretch>
                            <a:fillRect/>
                          </a:stretch>
                        </pic:blipFill>
                        <pic:spPr>
                          <a:xfrm>
                            <a:off x="0" y="0"/>
                            <a:ext cx="5442585" cy="2865755"/>
                          </a:xfrm>
                          <a:prstGeom prst="rect">
                            <a:avLst/>
                          </a:prstGeom>
                          <a:noFill/>
                          <a:ln>
                            <a:noFill/>
                          </a:ln>
                        </pic:spPr>
                      </pic:pic>
                    </a:graphicData>
                  </a:graphic>
                </wp:inline>
              </w:drawing>
            </w:r>
          </w:p>
          <w:p w14:paraId="51D40605">
            <w:pPr>
              <w:pStyle w:val="17"/>
              <w:rPr>
                <w:rFonts w:hint="eastAsia" w:eastAsia="黑体"/>
                <w:color w:val="auto"/>
                <w:lang w:eastAsia="zh-CN"/>
              </w:rPr>
            </w:pPr>
            <w:r>
              <w:rPr>
                <w:color w:val="auto"/>
              </w:rPr>
              <w:t>图1-4 本项目与通江县一般管控单元位置关系图</w:t>
            </w:r>
            <w:r>
              <w:rPr>
                <w:rFonts w:hint="eastAsia"/>
                <w:color w:val="auto"/>
                <w:lang w:eastAsia="zh-CN"/>
              </w:rPr>
              <w:t>（</w:t>
            </w:r>
            <w:r>
              <w:rPr>
                <w:rFonts w:hint="eastAsia"/>
                <w:color w:val="FF0000"/>
                <w:lang w:val="en-US" w:eastAsia="zh-CN"/>
              </w:rPr>
              <w:t>图中蓝色虚线部分为本项目建设管线</w:t>
            </w:r>
            <w:r>
              <w:rPr>
                <w:rFonts w:hint="eastAsia"/>
                <w:color w:val="auto"/>
                <w:lang w:eastAsia="zh-CN"/>
              </w:rPr>
              <w:t>）</w:t>
            </w:r>
          </w:p>
          <w:p w14:paraId="4DF7C316">
            <w:pPr>
              <w:ind w:firstLine="482"/>
              <w:rPr>
                <w:b/>
                <w:bCs/>
                <w:color w:val="auto"/>
              </w:rPr>
            </w:pPr>
            <w:r>
              <w:rPr>
                <w:rFonts w:hint="eastAsia"/>
                <w:b/>
                <w:bCs/>
                <w:color w:val="auto"/>
              </w:rPr>
              <w:t>（3）项目涉及管控要求</w:t>
            </w:r>
          </w:p>
          <w:p w14:paraId="3503F198">
            <w:pPr>
              <w:ind w:firstLine="480"/>
              <w:rPr>
                <w:color w:val="auto"/>
              </w:rPr>
            </w:pPr>
            <w:r>
              <w:rPr>
                <w:rFonts w:hint="eastAsia"/>
                <w:color w:val="auto"/>
              </w:rPr>
              <w:t>①项目所属经济区要求见下表。</w:t>
            </w:r>
          </w:p>
          <w:p w14:paraId="73581C72">
            <w:pPr>
              <w:pStyle w:val="17"/>
              <w:rPr>
                <w:rFonts w:hint="default"/>
                <w:color w:val="auto"/>
              </w:rPr>
            </w:pPr>
            <w:r>
              <w:rPr>
                <w:color w:val="auto"/>
              </w:rPr>
              <w:t>表1-11 项目所属经济区要求符合性分析</w:t>
            </w:r>
          </w:p>
          <w:tbl>
            <w:tblPr>
              <w:tblStyle w:val="12"/>
              <w:tblW w:w="5000" w:type="pct"/>
              <w:tblInd w:w="2"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 w:type="dxa"/>
                <w:bottom w:w="0" w:type="dxa"/>
                <w:right w:w="10" w:type="dxa"/>
              </w:tblCellMar>
            </w:tblPr>
            <w:tblGrid>
              <w:gridCol w:w="1108"/>
              <w:gridCol w:w="1078"/>
              <w:gridCol w:w="6393"/>
            </w:tblGrid>
            <w:tr w14:paraId="4FDAA8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tcBorders>
                    <w:tl2br w:val="nil"/>
                    <w:tr2bl w:val="nil"/>
                  </w:tcBorders>
                  <w:vAlign w:val="center"/>
                </w:tcPr>
                <w:p w14:paraId="16484584">
                  <w:pPr>
                    <w:pStyle w:val="16"/>
                    <w:jc w:val="center"/>
                    <w:rPr>
                      <w:color w:val="auto"/>
                    </w:rPr>
                  </w:pPr>
                  <w:r>
                    <w:rPr>
                      <w:color w:val="auto"/>
                    </w:rPr>
                    <w:t>经济区名称</w:t>
                  </w:r>
                </w:p>
              </w:tc>
              <w:tc>
                <w:tcPr>
                  <w:tcW w:w="628" w:type="pct"/>
                  <w:tcBorders>
                    <w:tl2br w:val="nil"/>
                    <w:tr2bl w:val="nil"/>
                  </w:tcBorders>
                  <w:vAlign w:val="center"/>
                </w:tcPr>
                <w:p w14:paraId="6D9F956B">
                  <w:pPr>
                    <w:pStyle w:val="16"/>
                    <w:jc w:val="center"/>
                    <w:rPr>
                      <w:color w:val="auto"/>
                    </w:rPr>
                  </w:pPr>
                  <w:r>
                    <w:rPr>
                      <w:color w:val="auto"/>
                    </w:rPr>
                    <w:t>标题</w:t>
                  </w:r>
                </w:p>
              </w:tc>
              <w:tc>
                <w:tcPr>
                  <w:tcW w:w="3725" w:type="pct"/>
                  <w:tcBorders>
                    <w:tl2br w:val="nil"/>
                    <w:tr2bl w:val="nil"/>
                  </w:tcBorders>
                  <w:vAlign w:val="center"/>
                </w:tcPr>
                <w:p w14:paraId="1E341A1E">
                  <w:pPr>
                    <w:pStyle w:val="16"/>
                    <w:jc w:val="center"/>
                    <w:rPr>
                      <w:color w:val="auto"/>
                    </w:rPr>
                  </w:pPr>
                  <w:r>
                    <w:rPr>
                      <w:color w:val="auto"/>
                    </w:rPr>
                    <w:t>内容</w:t>
                  </w:r>
                </w:p>
              </w:tc>
            </w:tr>
            <w:tr w14:paraId="5EA2E0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restart"/>
                  <w:tcBorders>
                    <w:tl2br w:val="nil"/>
                    <w:tr2bl w:val="nil"/>
                  </w:tcBorders>
                  <w:vAlign w:val="center"/>
                </w:tcPr>
                <w:p w14:paraId="127641D3">
                  <w:pPr>
                    <w:pStyle w:val="16"/>
                    <w:jc w:val="center"/>
                    <w:rPr>
                      <w:color w:val="auto"/>
                    </w:rPr>
                  </w:pPr>
                  <w:r>
                    <w:rPr>
                      <w:color w:val="auto"/>
                    </w:rPr>
                    <w:t>川东北经济区</w:t>
                  </w:r>
                </w:p>
              </w:tc>
              <w:tc>
                <w:tcPr>
                  <w:tcW w:w="628" w:type="pct"/>
                  <w:tcBorders>
                    <w:tl2br w:val="nil"/>
                    <w:tr2bl w:val="nil"/>
                  </w:tcBorders>
                  <w:vAlign w:val="center"/>
                </w:tcPr>
                <w:p w14:paraId="5DC7FE90">
                  <w:pPr>
                    <w:pStyle w:val="16"/>
                    <w:jc w:val="center"/>
                    <w:rPr>
                      <w:color w:val="auto"/>
                    </w:rPr>
                  </w:pPr>
                  <w:r>
                    <w:rPr>
                      <w:color w:val="auto"/>
                    </w:rPr>
                    <w:t>区域特点</w:t>
                  </w:r>
                </w:p>
              </w:tc>
              <w:tc>
                <w:tcPr>
                  <w:tcW w:w="3725" w:type="pct"/>
                  <w:tcBorders>
                    <w:tl2br w:val="nil"/>
                    <w:tr2bl w:val="nil"/>
                  </w:tcBorders>
                  <w:vAlign w:val="center"/>
                </w:tcPr>
                <w:p w14:paraId="5C7DBC05">
                  <w:pPr>
                    <w:pStyle w:val="16"/>
                    <w:rPr>
                      <w:color w:val="auto"/>
                    </w:rPr>
                  </w:pPr>
                  <w:r>
                    <w:rPr>
                      <w:color w:val="auto"/>
                    </w:rPr>
                    <w:t>南充、达州、广安、广元、巴中5市内大部分区域属于省级层面重点开发区，是一般管控单元的集中分布区域。该区域发展定位为东向北向出川综合交通枢纽和川渝陕甘结合部区域经济中心。</w:t>
                  </w:r>
                </w:p>
              </w:tc>
            </w:tr>
            <w:tr w14:paraId="597BD2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vAlign w:val="center"/>
                </w:tcPr>
                <w:p w14:paraId="29823904">
                  <w:pPr>
                    <w:pStyle w:val="16"/>
                    <w:jc w:val="center"/>
                    <w:rPr>
                      <w:color w:val="auto"/>
                    </w:rPr>
                  </w:pPr>
                </w:p>
              </w:tc>
              <w:tc>
                <w:tcPr>
                  <w:tcW w:w="628" w:type="pct"/>
                  <w:tcBorders>
                    <w:tl2br w:val="nil"/>
                    <w:tr2bl w:val="nil"/>
                  </w:tcBorders>
                  <w:vAlign w:val="center"/>
                </w:tcPr>
                <w:p w14:paraId="03D21DA8">
                  <w:pPr>
                    <w:pStyle w:val="16"/>
                    <w:jc w:val="center"/>
                    <w:rPr>
                      <w:color w:val="auto"/>
                    </w:rPr>
                  </w:pPr>
                  <w:r>
                    <w:rPr>
                      <w:color w:val="auto"/>
                    </w:rPr>
                    <w:t>发展定位与目标</w:t>
                  </w:r>
                </w:p>
              </w:tc>
              <w:tc>
                <w:tcPr>
                  <w:tcW w:w="3725" w:type="pct"/>
                  <w:tcBorders>
                    <w:tl2br w:val="nil"/>
                    <w:tr2bl w:val="nil"/>
                  </w:tcBorders>
                  <w:vAlign w:val="center"/>
                </w:tcPr>
                <w:p w14:paraId="2EC86949">
                  <w:pPr>
                    <w:pStyle w:val="16"/>
                    <w:rPr>
                      <w:color w:val="auto"/>
                    </w:rPr>
                  </w:pPr>
                  <w:r>
                    <w:rPr>
                      <w:color w:val="auto"/>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r>
            <w:tr w14:paraId="398D31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vAlign w:val="center"/>
                </w:tcPr>
                <w:p w14:paraId="7E3F2045">
                  <w:pPr>
                    <w:pStyle w:val="16"/>
                    <w:jc w:val="center"/>
                    <w:rPr>
                      <w:color w:val="auto"/>
                    </w:rPr>
                  </w:pPr>
                </w:p>
              </w:tc>
              <w:tc>
                <w:tcPr>
                  <w:tcW w:w="628" w:type="pct"/>
                  <w:tcBorders>
                    <w:tl2br w:val="nil"/>
                    <w:tr2bl w:val="nil"/>
                  </w:tcBorders>
                  <w:vAlign w:val="center"/>
                </w:tcPr>
                <w:p w14:paraId="56C5EA88">
                  <w:pPr>
                    <w:pStyle w:val="16"/>
                    <w:jc w:val="center"/>
                    <w:rPr>
                      <w:color w:val="auto"/>
                    </w:rPr>
                  </w:pPr>
                  <w:r>
                    <w:rPr>
                      <w:color w:val="auto"/>
                    </w:rPr>
                    <w:t>区域突出生态环境问题</w:t>
                  </w:r>
                </w:p>
              </w:tc>
              <w:tc>
                <w:tcPr>
                  <w:tcW w:w="3725" w:type="pct"/>
                  <w:tcBorders>
                    <w:tl2br w:val="nil"/>
                    <w:tr2bl w:val="nil"/>
                  </w:tcBorders>
                  <w:vAlign w:val="center"/>
                </w:tcPr>
                <w:p w14:paraId="01C339CD">
                  <w:pPr>
                    <w:pStyle w:val="16"/>
                    <w:rPr>
                      <w:color w:val="auto"/>
                    </w:rPr>
                  </w:pPr>
                  <w:r>
                    <w:rPr>
                      <w:color w:val="auto"/>
                    </w:rPr>
                    <w:t>1、小流域污染问题突出，嘉陵江及渠江部分支流部分河段水环境承载力不足，乡镇污水基础设施建设滞后；出川断面多，水质要求高，保护压力大。 2、区域嘉陵江流域存在输入性水环境风险问题。 3、达州、广安大气污染问题须重视。</w:t>
                  </w:r>
                </w:p>
              </w:tc>
            </w:tr>
            <w:tr w14:paraId="3BFBC2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646" w:type="pct"/>
                  <w:vMerge w:val="continue"/>
                  <w:tcBorders>
                    <w:tl2br w:val="nil"/>
                    <w:tr2bl w:val="nil"/>
                  </w:tcBorders>
                  <w:vAlign w:val="center"/>
                </w:tcPr>
                <w:p w14:paraId="78B11F5E">
                  <w:pPr>
                    <w:pStyle w:val="16"/>
                    <w:jc w:val="center"/>
                    <w:rPr>
                      <w:color w:val="auto"/>
                    </w:rPr>
                  </w:pPr>
                </w:p>
              </w:tc>
              <w:tc>
                <w:tcPr>
                  <w:tcW w:w="628" w:type="pct"/>
                  <w:tcBorders>
                    <w:tl2br w:val="nil"/>
                    <w:tr2bl w:val="nil"/>
                  </w:tcBorders>
                  <w:vAlign w:val="center"/>
                </w:tcPr>
                <w:p w14:paraId="3E0D5382">
                  <w:pPr>
                    <w:pStyle w:val="16"/>
                    <w:jc w:val="center"/>
                    <w:rPr>
                      <w:color w:val="auto"/>
                    </w:rPr>
                  </w:pPr>
                  <w:r>
                    <w:rPr>
                      <w:color w:val="auto"/>
                    </w:rPr>
                    <w:t>总体管控要求</w:t>
                  </w:r>
                </w:p>
              </w:tc>
              <w:tc>
                <w:tcPr>
                  <w:tcW w:w="3725" w:type="pct"/>
                  <w:tcBorders>
                    <w:tl2br w:val="nil"/>
                    <w:tr2bl w:val="nil"/>
                  </w:tcBorders>
                  <w:vAlign w:val="center"/>
                </w:tcPr>
                <w:p w14:paraId="20496D88">
                  <w:pPr>
                    <w:pStyle w:val="16"/>
                    <w:rPr>
                      <w:color w:val="auto"/>
                    </w:rPr>
                  </w:pPr>
                  <w:r>
                    <w:rPr>
                      <w:color w:val="auto"/>
                    </w:rPr>
                    <w:t>1、控制农村面源污染，提高污水收集处理率，加快乡镇污水处理基础设施建设。2、建设流域水环境风险联防联控体系。提高大气污染治理水平。</w:t>
                  </w:r>
                </w:p>
              </w:tc>
            </w:tr>
          </w:tbl>
          <w:p w14:paraId="4472446F">
            <w:pPr>
              <w:ind w:firstLine="480"/>
              <w:rPr>
                <w:color w:val="auto"/>
              </w:rPr>
            </w:pPr>
            <w:r>
              <w:rPr>
                <w:rFonts w:hint="eastAsia"/>
                <w:color w:val="auto"/>
              </w:rPr>
              <w:t>②生态环境准入清单</w:t>
            </w:r>
          </w:p>
          <w:p w14:paraId="28BE8528">
            <w:pPr>
              <w:pStyle w:val="17"/>
              <w:jc w:val="both"/>
              <w:rPr>
                <w:rFonts w:hint="default"/>
                <w:color w:val="auto"/>
              </w:rPr>
            </w:pPr>
          </w:p>
          <w:p w14:paraId="0C8CDE0D">
            <w:pPr>
              <w:ind w:firstLine="480"/>
              <w:rPr>
                <w:color w:val="auto"/>
              </w:rPr>
            </w:pPr>
          </w:p>
          <w:p w14:paraId="49E9C8F8">
            <w:pPr>
              <w:ind w:firstLine="480"/>
              <w:rPr>
                <w:color w:val="auto"/>
              </w:rPr>
            </w:pPr>
          </w:p>
          <w:p w14:paraId="758D8DE7">
            <w:pPr>
              <w:ind w:firstLine="480"/>
              <w:rPr>
                <w:color w:val="auto"/>
              </w:rPr>
            </w:pPr>
          </w:p>
          <w:p w14:paraId="1B203475">
            <w:pPr>
              <w:ind w:firstLine="480"/>
              <w:rPr>
                <w:color w:val="auto"/>
              </w:rPr>
            </w:pPr>
          </w:p>
          <w:p w14:paraId="523A9F3B">
            <w:pPr>
              <w:ind w:firstLine="480"/>
              <w:rPr>
                <w:color w:val="auto"/>
              </w:rPr>
            </w:pPr>
          </w:p>
          <w:p w14:paraId="25A510B4">
            <w:pPr>
              <w:ind w:firstLine="480"/>
              <w:rPr>
                <w:color w:val="auto"/>
              </w:rPr>
            </w:pPr>
          </w:p>
          <w:p w14:paraId="39EA86E7">
            <w:pPr>
              <w:ind w:firstLine="480"/>
              <w:rPr>
                <w:color w:val="auto"/>
              </w:rPr>
            </w:pPr>
          </w:p>
          <w:p w14:paraId="205F86ED">
            <w:pPr>
              <w:ind w:firstLine="480"/>
              <w:rPr>
                <w:color w:val="auto"/>
              </w:rPr>
            </w:pPr>
          </w:p>
          <w:p w14:paraId="0FBBFEB2">
            <w:pPr>
              <w:ind w:firstLine="480"/>
              <w:rPr>
                <w:color w:val="auto"/>
              </w:rPr>
            </w:pPr>
          </w:p>
          <w:p w14:paraId="7AD42150">
            <w:pPr>
              <w:ind w:firstLine="480"/>
              <w:rPr>
                <w:color w:val="auto"/>
              </w:rPr>
            </w:pPr>
          </w:p>
          <w:p w14:paraId="6EB82898">
            <w:pPr>
              <w:ind w:firstLine="480"/>
              <w:rPr>
                <w:color w:val="auto"/>
              </w:rPr>
            </w:pPr>
          </w:p>
        </w:tc>
      </w:tr>
    </w:tbl>
    <w:p w14:paraId="7F8F98F7">
      <w:pPr>
        <w:ind w:firstLine="600"/>
        <w:outlineLvl w:val="0"/>
        <w:rPr>
          <w:rFonts w:eastAsia="黑体"/>
          <w:color w:val="auto"/>
          <w:sz w:val="30"/>
        </w:rPr>
        <w:sectPr>
          <w:footerReference r:id="rId11" w:type="default"/>
          <w:pgSz w:w="11906" w:h="16838"/>
          <w:pgMar w:top="1474" w:right="1474" w:bottom="1474" w:left="1474" w:header="851" w:footer="1077" w:gutter="0"/>
          <w:pgNumType w:start="1"/>
          <w:cols w:space="720" w:num="1"/>
          <w:docGrid w:linePitch="312" w:charSpace="0"/>
        </w:sectPr>
      </w:pPr>
    </w:p>
    <w:p w14:paraId="42EC37D0">
      <w:pPr>
        <w:pStyle w:val="17"/>
        <w:rPr>
          <w:rFonts w:hint="default"/>
          <w:color w:val="auto"/>
        </w:rPr>
      </w:pPr>
      <w:r>
        <w:rPr>
          <w:color w:val="auto"/>
        </w:rPr>
        <w:t>表1-12 与巴中市普适性管控要求符合性分析</w:t>
      </w:r>
    </w:p>
    <w:tbl>
      <w:tblPr>
        <w:tblStyle w:val="12"/>
        <w:tblW w:w="500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468"/>
        <w:gridCol w:w="617"/>
        <w:gridCol w:w="977"/>
        <w:gridCol w:w="689"/>
        <w:gridCol w:w="6826"/>
        <w:gridCol w:w="2963"/>
        <w:gridCol w:w="950"/>
      </w:tblGrid>
      <w:tr w14:paraId="79BD1C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tcBorders>
              <w:tl2br w:val="nil"/>
              <w:tr2bl w:val="nil"/>
            </w:tcBorders>
            <w:vAlign w:val="center"/>
          </w:tcPr>
          <w:p w14:paraId="7B25F89B">
            <w:pPr>
              <w:pStyle w:val="16"/>
              <w:jc w:val="center"/>
              <w:rPr>
                <w:color w:val="auto"/>
              </w:rPr>
            </w:pPr>
            <w:r>
              <w:rPr>
                <w:color w:val="auto"/>
              </w:rPr>
              <w:t>市州</w:t>
            </w:r>
          </w:p>
        </w:tc>
        <w:tc>
          <w:tcPr>
            <w:tcW w:w="617" w:type="dxa"/>
            <w:tcBorders>
              <w:tl2br w:val="nil"/>
              <w:tr2bl w:val="nil"/>
            </w:tcBorders>
            <w:vAlign w:val="center"/>
          </w:tcPr>
          <w:p w14:paraId="7ABF4E89">
            <w:pPr>
              <w:pStyle w:val="16"/>
              <w:jc w:val="center"/>
              <w:rPr>
                <w:color w:val="auto"/>
              </w:rPr>
            </w:pPr>
            <w:r>
              <w:rPr>
                <w:color w:val="auto"/>
              </w:rPr>
              <w:t>涉及县区</w:t>
            </w:r>
          </w:p>
        </w:tc>
        <w:tc>
          <w:tcPr>
            <w:tcW w:w="977" w:type="dxa"/>
            <w:tcBorders>
              <w:tl2br w:val="nil"/>
              <w:tr2bl w:val="nil"/>
            </w:tcBorders>
            <w:vAlign w:val="center"/>
          </w:tcPr>
          <w:p w14:paraId="1834E445">
            <w:pPr>
              <w:pStyle w:val="16"/>
              <w:jc w:val="center"/>
              <w:rPr>
                <w:color w:val="auto"/>
              </w:rPr>
            </w:pPr>
            <w:r>
              <w:rPr>
                <w:color w:val="auto"/>
              </w:rPr>
              <w:t>区域名称</w:t>
            </w:r>
          </w:p>
        </w:tc>
        <w:tc>
          <w:tcPr>
            <w:tcW w:w="689" w:type="dxa"/>
            <w:tcBorders>
              <w:tl2br w:val="nil"/>
              <w:tr2bl w:val="nil"/>
            </w:tcBorders>
            <w:vAlign w:val="center"/>
          </w:tcPr>
          <w:p w14:paraId="4025E057">
            <w:pPr>
              <w:pStyle w:val="16"/>
              <w:jc w:val="center"/>
              <w:rPr>
                <w:color w:val="auto"/>
              </w:rPr>
            </w:pPr>
            <w:r>
              <w:rPr>
                <w:color w:val="auto"/>
              </w:rPr>
              <w:t>管控类别</w:t>
            </w:r>
          </w:p>
        </w:tc>
        <w:tc>
          <w:tcPr>
            <w:tcW w:w="6826" w:type="dxa"/>
            <w:tcBorders>
              <w:tl2br w:val="nil"/>
              <w:tr2bl w:val="nil"/>
            </w:tcBorders>
            <w:vAlign w:val="center"/>
          </w:tcPr>
          <w:p w14:paraId="081C4911">
            <w:pPr>
              <w:pStyle w:val="16"/>
              <w:jc w:val="center"/>
              <w:rPr>
                <w:color w:val="auto"/>
              </w:rPr>
            </w:pPr>
            <w:r>
              <w:rPr>
                <w:color w:val="auto"/>
              </w:rPr>
              <w:t>管控要求</w:t>
            </w:r>
          </w:p>
        </w:tc>
        <w:tc>
          <w:tcPr>
            <w:tcW w:w="2963" w:type="dxa"/>
            <w:tcBorders>
              <w:tl2br w:val="nil"/>
              <w:tr2bl w:val="nil"/>
            </w:tcBorders>
            <w:vAlign w:val="center"/>
          </w:tcPr>
          <w:p w14:paraId="402BD463">
            <w:pPr>
              <w:pStyle w:val="16"/>
              <w:jc w:val="center"/>
              <w:rPr>
                <w:color w:val="auto"/>
              </w:rPr>
            </w:pPr>
            <w:r>
              <w:rPr>
                <w:rFonts w:hint="eastAsia"/>
                <w:color w:val="auto"/>
              </w:rPr>
              <w:t>本项目情况</w:t>
            </w:r>
          </w:p>
        </w:tc>
        <w:tc>
          <w:tcPr>
            <w:tcW w:w="950" w:type="dxa"/>
            <w:tcBorders>
              <w:tl2br w:val="nil"/>
              <w:tr2bl w:val="nil"/>
            </w:tcBorders>
            <w:vAlign w:val="center"/>
          </w:tcPr>
          <w:p w14:paraId="6C7FB12E">
            <w:pPr>
              <w:pStyle w:val="16"/>
              <w:jc w:val="center"/>
              <w:rPr>
                <w:color w:val="auto"/>
              </w:rPr>
            </w:pPr>
            <w:r>
              <w:rPr>
                <w:rFonts w:hint="eastAsia"/>
                <w:color w:val="auto"/>
              </w:rPr>
              <w:t>是否符合</w:t>
            </w:r>
          </w:p>
        </w:tc>
      </w:tr>
      <w:tr w14:paraId="4CACE8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restart"/>
            <w:tcBorders>
              <w:tl2br w:val="nil"/>
              <w:tr2bl w:val="nil"/>
            </w:tcBorders>
            <w:vAlign w:val="center"/>
          </w:tcPr>
          <w:p w14:paraId="66E95584">
            <w:pPr>
              <w:pStyle w:val="16"/>
              <w:jc w:val="center"/>
              <w:rPr>
                <w:color w:val="auto"/>
              </w:rPr>
            </w:pPr>
            <w:r>
              <w:rPr>
                <w:color w:val="auto"/>
              </w:rPr>
              <w:t>巴中市</w:t>
            </w:r>
          </w:p>
        </w:tc>
        <w:tc>
          <w:tcPr>
            <w:tcW w:w="617" w:type="dxa"/>
            <w:vMerge w:val="restart"/>
            <w:tcBorders>
              <w:tl2br w:val="nil"/>
              <w:tr2bl w:val="nil"/>
            </w:tcBorders>
            <w:vAlign w:val="center"/>
          </w:tcPr>
          <w:p w14:paraId="20829779">
            <w:pPr>
              <w:pStyle w:val="16"/>
              <w:jc w:val="center"/>
              <w:rPr>
                <w:color w:val="auto"/>
              </w:rPr>
            </w:pPr>
            <w:r>
              <w:rPr>
                <w:color w:val="auto"/>
              </w:rPr>
              <w:t>巴州区+恩阳区+通江县+南江县+平昌县</w:t>
            </w:r>
          </w:p>
        </w:tc>
        <w:tc>
          <w:tcPr>
            <w:tcW w:w="977" w:type="dxa"/>
            <w:vMerge w:val="restart"/>
            <w:tcBorders>
              <w:tl2br w:val="nil"/>
              <w:tr2bl w:val="nil"/>
            </w:tcBorders>
            <w:vAlign w:val="center"/>
          </w:tcPr>
          <w:p w14:paraId="4CF9D3B9">
            <w:pPr>
              <w:pStyle w:val="16"/>
              <w:jc w:val="center"/>
              <w:rPr>
                <w:color w:val="auto"/>
              </w:rPr>
            </w:pPr>
            <w:r>
              <w:rPr>
                <w:color w:val="auto"/>
              </w:rPr>
              <w:t>巴州区+恩阳区+通江县+南江县+平昌县</w:t>
            </w:r>
          </w:p>
        </w:tc>
        <w:tc>
          <w:tcPr>
            <w:tcW w:w="689" w:type="dxa"/>
            <w:tcBorders>
              <w:tl2br w:val="nil"/>
              <w:tr2bl w:val="nil"/>
            </w:tcBorders>
            <w:vAlign w:val="center"/>
          </w:tcPr>
          <w:p w14:paraId="273C4716">
            <w:pPr>
              <w:pStyle w:val="16"/>
              <w:jc w:val="center"/>
              <w:rPr>
                <w:color w:val="auto"/>
              </w:rPr>
            </w:pPr>
            <w:r>
              <w:rPr>
                <w:color w:val="auto"/>
              </w:rPr>
              <w:t>空间布局约束</w:t>
            </w:r>
          </w:p>
        </w:tc>
        <w:tc>
          <w:tcPr>
            <w:tcW w:w="6826" w:type="dxa"/>
            <w:tcBorders>
              <w:tl2br w:val="nil"/>
              <w:tr2bl w:val="nil"/>
            </w:tcBorders>
            <w:vAlign w:val="center"/>
          </w:tcPr>
          <w:p w14:paraId="4E7FD987">
            <w:pPr>
              <w:pStyle w:val="16"/>
              <w:rPr>
                <w:color w:val="auto"/>
              </w:rPr>
            </w:pPr>
            <w:r>
              <w:rPr>
                <w:color w:val="auto"/>
              </w:rPr>
              <w:t>-禁止在长江干支流岸线一公里范围内新建、扩建化工园区和化工项目。 -禁止在长江干流岸线三公里范围内和重要支流岸线一公里范围内新建、改建、扩建尾矿库、冶炼渣库、磷石膏库，以提升安全、生态环境保护水平为目的的改建除外。 -禁止在法律法规规定的禁采区内开采矿产；禁止土法采、选、冶严重污染环境的矿产资源。 -禁止在长江流域河湖管理范围内倾倒、填埋、堆放、弃置、处理固体废物。 -对全部基本农田按禁止开发的要求进行管理。涉及基本农田的区域，除法律规定的重点建设项目选址确实无法避让外，其他任何建设不得占用。 -禁止在永久基本农田集中区域和其他需要特别保护的区域选址建设尾矿库、冶炼渣库、磷石膏库。-涉及法定保护地，严格按照国家及地方法律法规、管理办法等相关要求进行控制。配套旅游、基础设施等建设项目，在符合规划和相关保护要求的前提下，应实施生态避让、减缓影响及生态恢复措施。 -按照相关要求严控水泥新增产能。 -因地制宜地发展适宜产业，在不损害生态系统功能的前提下，适度发展旅游、农林牧产品生产和加工、生态农业、休闲农业等产业； -严格控制非农业建设占用农用地。 -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 -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 -水环境农业污染重点管控区：（1）稳步推进建制镇污水处理设施建设，适当预留发展空间，宜集中则集中，宜分散则分散。农村生活污水处理设施排水执行《农村生活污水处理设施水污染物排放标准》（DB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2626-2019）要求。（2）深入推进化肥减量增效。鼓励以循环利用与生态净化相结合的方式控制种植业污染，农企合作推进测土配方施肥。-全面取缔禁养区内规模化畜禽养殖场。 -针对现有水泥企业，强化污染治理和污染物减排，依法依规整治或搬迁。</w:t>
            </w:r>
          </w:p>
        </w:tc>
        <w:tc>
          <w:tcPr>
            <w:tcW w:w="2963" w:type="dxa"/>
            <w:tcBorders>
              <w:tl2br w:val="nil"/>
              <w:tr2bl w:val="nil"/>
            </w:tcBorders>
            <w:vAlign w:val="center"/>
          </w:tcPr>
          <w:p w14:paraId="19C8F546">
            <w:pPr>
              <w:pStyle w:val="16"/>
              <w:rPr>
                <w:color w:val="auto"/>
              </w:rPr>
            </w:pPr>
            <w:r>
              <w:rPr>
                <w:color w:val="auto"/>
              </w:rPr>
              <w:t>本项目属于</w:t>
            </w:r>
            <w:r>
              <w:rPr>
                <w:rFonts w:hint="eastAsia"/>
                <w:color w:val="auto"/>
              </w:rPr>
              <w:t>供水与灌溉</w:t>
            </w:r>
            <w:r>
              <w:rPr>
                <w:color w:val="auto"/>
              </w:rPr>
              <w:t>工程，不</w:t>
            </w:r>
            <w:r>
              <w:rPr>
                <w:rFonts w:hint="eastAsia"/>
                <w:color w:val="auto"/>
              </w:rPr>
              <w:t>涉及该管控要求内所提建设项目</w:t>
            </w:r>
          </w:p>
        </w:tc>
        <w:tc>
          <w:tcPr>
            <w:tcW w:w="950" w:type="dxa"/>
            <w:tcBorders>
              <w:tl2br w:val="nil"/>
              <w:tr2bl w:val="nil"/>
            </w:tcBorders>
            <w:vAlign w:val="center"/>
          </w:tcPr>
          <w:p w14:paraId="4D76411E">
            <w:pPr>
              <w:pStyle w:val="16"/>
              <w:jc w:val="center"/>
              <w:rPr>
                <w:color w:val="auto"/>
              </w:rPr>
            </w:pPr>
            <w:r>
              <w:rPr>
                <w:rFonts w:hint="eastAsia"/>
                <w:color w:val="auto"/>
              </w:rPr>
              <w:t>符合</w:t>
            </w:r>
          </w:p>
        </w:tc>
      </w:tr>
      <w:tr w14:paraId="58B997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vAlign w:val="center"/>
          </w:tcPr>
          <w:p w14:paraId="2067FBD6">
            <w:pPr>
              <w:pStyle w:val="16"/>
              <w:rPr>
                <w:color w:val="auto"/>
              </w:rPr>
            </w:pPr>
          </w:p>
        </w:tc>
        <w:tc>
          <w:tcPr>
            <w:tcW w:w="617" w:type="dxa"/>
            <w:vMerge w:val="continue"/>
            <w:tcBorders>
              <w:tl2br w:val="nil"/>
              <w:tr2bl w:val="nil"/>
            </w:tcBorders>
            <w:vAlign w:val="center"/>
          </w:tcPr>
          <w:p w14:paraId="50350E4B">
            <w:pPr>
              <w:pStyle w:val="16"/>
              <w:rPr>
                <w:color w:val="auto"/>
              </w:rPr>
            </w:pPr>
          </w:p>
        </w:tc>
        <w:tc>
          <w:tcPr>
            <w:tcW w:w="977" w:type="dxa"/>
            <w:vMerge w:val="continue"/>
            <w:tcBorders>
              <w:tl2br w:val="nil"/>
              <w:tr2bl w:val="nil"/>
            </w:tcBorders>
            <w:vAlign w:val="center"/>
          </w:tcPr>
          <w:p w14:paraId="1E722D03">
            <w:pPr>
              <w:pStyle w:val="16"/>
              <w:rPr>
                <w:color w:val="auto"/>
              </w:rPr>
            </w:pPr>
          </w:p>
        </w:tc>
        <w:tc>
          <w:tcPr>
            <w:tcW w:w="689" w:type="dxa"/>
            <w:tcBorders>
              <w:tl2br w:val="nil"/>
              <w:tr2bl w:val="nil"/>
            </w:tcBorders>
            <w:vAlign w:val="center"/>
          </w:tcPr>
          <w:p w14:paraId="1D3596CC">
            <w:pPr>
              <w:pStyle w:val="16"/>
              <w:rPr>
                <w:color w:val="auto"/>
              </w:rPr>
            </w:pPr>
            <w:r>
              <w:rPr>
                <w:color w:val="auto"/>
              </w:rPr>
              <w:t>污染物排放管控</w:t>
            </w:r>
          </w:p>
        </w:tc>
        <w:tc>
          <w:tcPr>
            <w:tcW w:w="6826" w:type="dxa"/>
            <w:tcBorders>
              <w:tl2br w:val="nil"/>
              <w:tr2bl w:val="nil"/>
            </w:tcBorders>
            <w:vAlign w:val="center"/>
          </w:tcPr>
          <w:p w14:paraId="2BE6C742">
            <w:pPr>
              <w:pStyle w:val="16"/>
              <w:rPr>
                <w:color w:val="auto"/>
              </w:rPr>
            </w:pPr>
            <w:r>
              <w:rPr>
                <w:color w:val="auto"/>
              </w:rPr>
              <w:t>-加快现有乡镇污水处理设施升级改造，按要求达《城镇污水处理厂污染物排放标准》一级A标后排放。 -在矿产资源开发活动集中区域，废水执行重金属污染物排放特别限值。 -砖瓦行业实施脱硫、除尘升级改造，污染物排放达到《砖瓦工业大气污染物排放标准》相关要求。 -火电、水泥等行业按相关要求推进大气污染物超低排放和深度治理。 -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污染物排放绩效水平准入要求： -到2025年乡镇污水处理率达95%；到2030年乡镇污水处理率达100%； -大中型矿山达到绿色矿山标准，引导小型矿山按照绿色矿山标准规范法发展。加强矿山采选废水的处理和综合利用工作，选矿废水全部综合利用，不外排，采矿废水应尽量回用。 -新、改扩建规模化畜禽养殖场（小区）要实施雨污分流，畜禽粪污实现资源化利用；散养密集区要实行畜禽粪便污水分户收集，集中处理利用； -屠宰项目必须配套污水处理设施或进入城市污水管网。 -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 -到2025年底，全市有机肥使用面积达到370万亩。平均耕地质量提升一个等级，化肥使用量总体保持零增长。 -2025年主要粮经作物主产区农药包装废弃物回收率达80%强化大气污染区域联防联控措施，实施重污染天气应急管控。修订重污染天气应急预案，动态更新污染源排放清单，落实重点企业错峰生产、压产限产、工地停工等强制性措施，有效减缓重污染天气影响。企业环境风险防控要求</w:t>
            </w:r>
            <w:r>
              <w:rPr>
                <w:rFonts w:hint="eastAsia"/>
                <w:color w:val="auto"/>
              </w:rPr>
              <w:t>：</w:t>
            </w:r>
            <w:r>
              <w:rPr>
                <w:color w:val="auto"/>
              </w:rPr>
              <w:t>-工业企业退出用地，须经评估、修复满足相应用地功能后，方可改变用途。  -加强“散乱污”企业环境风险防控。 -现有涉及五类重金属的企业，严控污染物排放，限时整治或搬迁。 用地环境风险防控要求</w:t>
            </w:r>
            <w:r>
              <w:rPr>
                <w:rFonts w:hint="eastAsia"/>
                <w:color w:val="auto"/>
              </w:rPr>
              <w:t>：</w:t>
            </w:r>
            <w:r>
              <w:rPr>
                <w:color w:val="auto"/>
              </w:rPr>
              <w:t>-严禁将城镇生活垃圾、污泥、工业废物直接用作肥料，禁止处理不达标的污泥进入耕地；禁止在农用地排放、倾倒、使用污泥、清淤底泥、尾矿（渣）等可能对土壤造成污染的固体废物。 -定期对单元内尾矿库进行风险巡查，建立监测系统和环境风险应急预案；完善各尾矿库渗滤液收集、处理、回用系统，杜绝事故排放；尾矿库闭矿后因地制宜进行植被恢复和综合利用。                                                                                                  -规范排土场、渣场等整治。 -严格控制林地、草地、园地的农药使用量，禁止使用高毒、高残留农药。</w:t>
            </w:r>
          </w:p>
        </w:tc>
        <w:tc>
          <w:tcPr>
            <w:tcW w:w="2963" w:type="dxa"/>
            <w:tcBorders>
              <w:tl2br w:val="nil"/>
              <w:tr2bl w:val="nil"/>
            </w:tcBorders>
            <w:vAlign w:val="center"/>
          </w:tcPr>
          <w:p w14:paraId="4F76FCD4">
            <w:pPr>
              <w:pStyle w:val="16"/>
              <w:rPr>
                <w:color w:val="auto"/>
              </w:rPr>
            </w:pPr>
            <w:r>
              <w:rPr>
                <w:color w:val="auto"/>
              </w:rPr>
              <w:t>本项目属于</w:t>
            </w:r>
            <w:r>
              <w:rPr>
                <w:rFonts w:hint="eastAsia"/>
                <w:color w:val="auto"/>
              </w:rPr>
              <w:t>供水与灌溉</w:t>
            </w:r>
            <w:r>
              <w:rPr>
                <w:color w:val="auto"/>
              </w:rPr>
              <w:t>工程，</w:t>
            </w:r>
            <w:r>
              <w:rPr>
                <w:rFonts w:hint="eastAsia"/>
                <w:color w:val="auto"/>
              </w:rPr>
              <w:t>本项目工程施工期对大气环境的影响主要有：施工扬尘、粉尘，施工机械和车辆燃油尾气等。施工扬尘采取设置围档、设置水喷雾装置、洒水降水等措施；拌合粉尘通过混凝土拌和系统加盖、水泥库与粉煤灰库实行全封闭作业；转存料场设置车辆冲洗系统、洒水降尘等；在堆土场表面采用彩条布覆盖；对施工工区、施工场地及临近运输道路及时进行道路硬化、洒水降尘等措施；选用达到环保要求的设备，在施工期内应多加注意施工设备的维护。项目施工期拌合机冲洗废水经收集沉淀处理后循环用于系统冲洗和施工作业区洒水降尘，不外排；施工期生活污水经旱厕、居民卫生处理设施处理后，用于周边耕地和林地施肥，不外排。在工程区内设置垃圾集中收集区和垃圾池，对施工生活产生的生活和建筑垃圾及时运至附近的垃圾填埋场。随着施工期结束，施工期产生污染物也随之消失。项目运行期产生污染仅为泵站噪声，通过泵房隔声降低噪声排放。</w:t>
            </w:r>
          </w:p>
        </w:tc>
        <w:tc>
          <w:tcPr>
            <w:tcW w:w="950" w:type="dxa"/>
            <w:tcBorders>
              <w:tl2br w:val="nil"/>
              <w:tr2bl w:val="nil"/>
            </w:tcBorders>
            <w:vAlign w:val="center"/>
          </w:tcPr>
          <w:p w14:paraId="22CE204B">
            <w:pPr>
              <w:pStyle w:val="16"/>
              <w:jc w:val="center"/>
              <w:rPr>
                <w:color w:val="auto"/>
              </w:rPr>
            </w:pPr>
            <w:r>
              <w:rPr>
                <w:rFonts w:hint="eastAsia"/>
                <w:color w:val="auto"/>
              </w:rPr>
              <w:t>符合</w:t>
            </w:r>
          </w:p>
        </w:tc>
      </w:tr>
      <w:tr w14:paraId="14D4AA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vAlign w:val="center"/>
          </w:tcPr>
          <w:p w14:paraId="62F48F3D">
            <w:pPr>
              <w:pStyle w:val="16"/>
              <w:rPr>
                <w:color w:val="auto"/>
              </w:rPr>
            </w:pPr>
          </w:p>
        </w:tc>
        <w:tc>
          <w:tcPr>
            <w:tcW w:w="617" w:type="dxa"/>
            <w:vMerge w:val="continue"/>
            <w:tcBorders>
              <w:tl2br w:val="nil"/>
              <w:tr2bl w:val="nil"/>
            </w:tcBorders>
            <w:vAlign w:val="center"/>
          </w:tcPr>
          <w:p w14:paraId="5B27FD49">
            <w:pPr>
              <w:pStyle w:val="16"/>
              <w:rPr>
                <w:color w:val="auto"/>
              </w:rPr>
            </w:pPr>
          </w:p>
        </w:tc>
        <w:tc>
          <w:tcPr>
            <w:tcW w:w="977" w:type="dxa"/>
            <w:vMerge w:val="continue"/>
            <w:tcBorders>
              <w:tl2br w:val="nil"/>
              <w:tr2bl w:val="nil"/>
            </w:tcBorders>
            <w:vAlign w:val="center"/>
          </w:tcPr>
          <w:p w14:paraId="282CC977">
            <w:pPr>
              <w:pStyle w:val="16"/>
              <w:rPr>
                <w:color w:val="auto"/>
              </w:rPr>
            </w:pPr>
          </w:p>
        </w:tc>
        <w:tc>
          <w:tcPr>
            <w:tcW w:w="689" w:type="dxa"/>
            <w:tcBorders>
              <w:tl2br w:val="nil"/>
              <w:tr2bl w:val="nil"/>
            </w:tcBorders>
            <w:vAlign w:val="center"/>
          </w:tcPr>
          <w:p w14:paraId="59399BF1">
            <w:pPr>
              <w:pStyle w:val="16"/>
              <w:rPr>
                <w:color w:val="auto"/>
              </w:rPr>
            </w:pPr>
            <w:r>
              <w:rPr>
                <w:color w:val="auto"/>
              </w:rPr>
              <w:t>环境风险防控</w:t>
            </w:r>
          </w:p>
        </w:tc>
        <w:tc>
          <w:tcPr>
            <w:tcW w:w="6826" w:type="dxa"/>
            <w:tcBorders>
              <w:tl2br w:val="nil"/>
              <w:tr2bl w:val="nil"/>
            </w:tcBorders>
            <w:vAlign w:val="center"/>
          </w:tcPr>
          <w:p w14:paraId="122051DB">
            <w:pPr>
              <w:pStyle w:val="16"/>
              <w:rPr>
                <w:color w:val="auto"/>
              </w:rPr>
            </w:pPr>
            <w:r>
              <w:rPr>
                <w:color w:val="auto"/>
              </w:rPr>
              <w:t>-巴中市2025年地下水开采控制控制量保持在1400万m</w:t>
            </w:r>
            <w:r>
              <w:rPr>
                <w:color w:val="auto"/>
                <w:vertAlign w:val="superscript"/>
              </w:rPr>
              <w:t>3</w:t>
            </w:r>
            <w:r>
              <w:rPr>
                <w:color w:val="auto"/>
              </w:rPr>
              <w:t>以内。 -地下水开采量控制在可开采量的允 许范围内，抑制用水过度增长。-推进清洁能源的推广使用，全面推进散煤清洁化整治；禁止新建每小时10蒸吨以下的燃煤锅炉及其他燃煤设施。 -禁止焚烧秸秆和垃圾。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到2025年，巴中市农田有效灌溉系数达到0.56；到 2030 年，巴中市农田有效灌溉率提到40%，农田灌溉用水有效利用系数提高到 0.62 左右。</w:t>
            </w:r>
          </w:p>
        </w:tc>
        <w:tc>
          <w:tcPr>
            <w:tcW w:w="2963" w:type="dxa"/>
            <w:tcBorders>
              <w:tl2br w:val="nil"/>
              <w:tr2bl w:val="nil"/>
            </w:tcBorders>
            <w:vAlign w:val="center"/>
          </w:tcPr>
          <w:p w14:paraId="7CF10836">
            <w:pPr>
              <w:pStyle w:val="16"/>
              <w:rPr>
                <w:color w:val="auto"/>
              </w:rPr>
            </w:pPr>
            <w:r>
              <w:rPr>
                <w:color w:val="auto"/>
              </w:rPr>
              <w:t>本项目属于</w:t>
            </w:r>
            <w:r>
              <w:rPr>
                <w:rFonts w:hint="eastAsia"/>
                <w:color w:val="auto"/>
              </w:rPr>
              <w:t>供水与灌溉</w:t>
            </w:r>
            <w:r>
              <w:rPr>
                <w:color w:val="auto"/>
              </w:rPr>
              <w:t>工程，</w:t>
            </w:r>
            <w:r>
              <w:rPr>
                <w:rFonts w:hint="eastAsia"/>
                <w:color w:val="auto"/>
              </w:rPr>
              <w:t>项目输水系统采用优质管材、节水阀门，设备管路布置要紧凑合理，减少管路损失。生活供水管道采用耐腐蚀、不结垢的材料，并保证其管路及阀门的安装打压不渗、不漏。引水主要采用重力自流的形式，从而节省排污泵，可以大大节约能耗。</w:t>
            </w:r>
            <w:r>
              <w:rPr>
                <w:color w:val="auto"/>
              </w:rPr>
              <w:t>通江县铁佛镇移民安置区饮水管网及灌溉水利设施建设工程改善流里河水库片区和澌溪沟水库片区总灌溉面积1.13万亩，建成后灌溉水利用系数达到0.855</w:t>
            </w:r>
            <w:r>
              <w:rPr>
                <w:rFonts w:hint="eastAsia"/>
                <w:color w:val="auto"/>
              </w:rPr>
              <w:t>。</w:t>
            </w:r>
          </w:p>
        </w:tc>
        <w:tc>
          <w:tcPr>
            <w:tcW w:w="950" w:type="dxa"/>
            <w:tcBorders>
              <w:tl2br w:val="nil"/>
              <w:tr2bl w:val="nil"/>
            </w:tcBorders>
            <w:vAlign w:val="center"/>
          </w:tcPr>
          <w:p w14:paraId="45D4EEA9">
            <w:pPr>
              <w:pStyle w:val="16"/>
              <w:jc w:val="center"/>
              <w:rPr>
                <w:color w:val="auto"/>
              </w:rPr>
            </w:pPr>
            <w:r>
              <w:rPr>
                <w:rFonts w:hint="eastAsia"/>
                <w:color w:val="auto"/>
              </w:rPr>
              <w:t>符合</w:t>
            </w:r>
          </w:p>
        </w:tc>
      </w:tr>
      <w:tr w14:paraId="265D37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jc w:val="center"/>
        </w:trPr>
        <w:tc>
          <w:tcPr>
            <w:tcW w:w="0" w:type="auto"/>
            <w:vMerge w:val="continue"/>
            <w:tcBorders>
              <w:tl2br w:val="nil"/>
              <w:tr2bl w:val="nil"/>
            </w:tcBorders>
            <w:vAlign w:val="center"/>
          </w:tcPr>
          <w:p w14:paraId="3DA67989">
            <w:pPr>
              <w:pStyle w:val="16"/>
              <w:rPr>
                <w:color w:val="auto"/>
              </w:rPr>
            </w:pPr>
          </w:p>
        </w:tc>
        <w:tc>
          <w:tcPr>
            <w:tcW w:w="617" w:type="dxa"/>
            <w:vMerge w:val="continue"/>
            <w:tcBorders>
              <w:tl2br w:val="nil"/>
              <w:tr2bl w:val="nil"/>
            </w:tcBorders>
            <w:vAlign w:val="center"/>
          </w:tcPr>
          <w:p w14:paraId="3691600D">
            <w:pPr>
              <w:pStyle w:val="16"/>
              <w:rPr>
                <w:color w:val="auto"/>
              </w:rPr>
            </w:pPr>
          </w:p>
        </w:tc>
        <w:tc>
          <w:tcPr>
            <w:tcW w:w="977" w:type="dxa"/>
            <w:vMerge w:val="continue"/>
            <w:tcBorders>
              <w:tl2br w:val="nil"/>
              <w:tr2bl w:val="nil"/>
            </w:tcBorders>
            <w:vAlign w:val="center"/>
          </w:tcPr>
          <w:p w14:paraId="021EA00E">
            <w:pPr>
              <w:pStyle w:val="16"/>
              <w:rPr>
                <w:color w:val="auto"/>
              </w:rPr>
            </w:pPr>
          </w:p>
        </w:tc>
        <w:tc>
          <w:tcPr>
            <w:tcW w:w="689" w:type="dxa"/>
            <w:tcBorders>
              <w:tl2br w:val="nil"/>
              <w:tr2bl w:val="nil"/>
            </w:tcBorders>
            <w:vAlign w:val="center"/>
          </w:tcPr>
          <w:p w14:paraId="6BEED794">
            <w:pPr>
              <w:pStyle w:val="16"/>
              <w:rPr>
                <w:color w:val="auto"/>
              </w:rPr>
            </w:pPr>
            <w:r>
              <w:rPr>
                <w:color w:val="auto"/>
              </w:rPr>
              <w:t>资源开发利用效率要求</w:t>
            </w:r>
          </w:p>
        </w:tc>
        <w:tc>
          <w:tcPr>
            <w:tcW w:w="6826" w:type="dxa"/>
            <w:tcBorders>
              <w:tl2br w:val="nil"/>
              <w:tr2bl w:val="nil"/>
            </w:tcBorders>
            <w:vAlign w:val="center"/>
          </w:tcPr>
          <w:p w14:paraId="44D14633">
            <w:pPr>
              <w:pStyle w:val="16"/>
              <w:rPr>
                <w:color w:val="auto"/>
              </w:rPr>
            </w:pPr>
            <w:r>
              <w:rPr>
                <w:rFonts w:hint="eastAsia"/>
                <w:color w:val="auto"/>
              </w:rPr>
              <w:t>/</w:t>
            </w:r>
          </w:p>
        </w:tc>
        <w:tc>
          <w:tcPr>
            <w:tcW w:w="2963" w:type="dxa"/>
            <w:tcBorders>
              <w:tl2br w:val="nil"/>
              <w:tr2bl w:val="nil"/>
            </w:tcBorders>
            <w:vAlign w:val="center"/>
          </w:tcPr>
          <w:p w14:paraId="2B7EDFA1">
            <w:pPr>
              <w:pStyle w:val="16"/>
              <w:rPr>
                <w:color w:val="auto"/>
              </w:rPr>
            </w:pPr>
            <w:r>
              <w:rPr>
                <w:rFonts w:hint="eastAsia"/>
                <w:color w:val="auto"/>
              </w:rPr>
              <w:t>/</w:t>
            </w:r>
          </w:p>
        </w:tc>
        <w:tc>
          <w:tcPr>
            <w:tcW w:w="950" w:type="dxa"/>
            <w:tcBorders>
              <w:tl2br w:val="nil"/>
              <w:tr2bl w:val="nil"/>
            </w:tcBorders>
            <w:vAlign w:val="center"/>
          </w:tcPr>
          <w:p w14:paraId="3D55F9CE">
            <w:pPr>
              <w:pStyle w:val="16"/>
              <w:jc w:val="center"/>
              <w:rPr>
                <w:color w:val="auto"/>
              </w:rPr>
            </w:pPr>
            <w:r>
              <w:rPr>
                <w:rFonts w:hint="eastAsia"/>
                <w:color w:val="auto"/>
              </w:rPr>
              <w:t>/</w:t>
            </w:r>
          </w:p>
        </w:tc>
      </w:tr>
    </w:tbl>
    <w:p w14:paraId="7BD9BF00">
      <w:pPr>
        <w:pStyle w:val="17"/>
        <w:rPr>
          <w:rFonts w:hint="default"/>
          <w:color w:val="auto"/>
        </w:rPr>
      </w:pPr>
    </w:p>
    <w:p w14:paraId="611E06F7">
      <w:pPr>
        <w:pStyle w:val="17"/>
        <w:rPr>
          <w:rFonts w:hint="default"/>
          <w:color w:val="auto"/>
        </w:rPr>
      </w:pPr>
      <w:r>
        <w:rPr>
          <w:color w:val="auto"/>
        </w:rPr>
        <w:t>表1-13 与通江县普适性管控要求符合性分析</w:t>
      </w:r>
    </w:p>
    <w:tbl>
      <w:tblPr>
        <w:tblStyle w:val="12"/>
        <w:tblW w:w="502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678"/>
        <w:gridCol w:w="1014"/>
        <w:gridCol w:w="1665"/>
        <w:gridCol w:w="6705"/>
        <w:gridCol w:w="2439"/>
        <w:gridCol w:w="1038"/>
      </w:tblGrid>
      <w:tr w14:paraId="2FC93C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tcBorders>
              <w:tl2br w:val="nil"/>
              <w:tr2bl w:val="nil"/>
            </w:tcBorders>
            <w:vAlign w:val="center"/>
          </w:tcPr>
          <w:p w14:paraId="57FE14B6">
            <w:pPr>
              <w:pStyle w:val="16"/>
              <w:jc w:val="center"/>
              <w:rPr>
                <w:color w:val="auto"/>
              </w:rPr>
            </w:pPr>
            <w:r>
              <w:rPr>
                <w:color w:val="auto"/>
              </w:rPr>
              <w:t>县区</w:t>
            </w:r>
          </w:p>
        </w:tc>
        <w:tc>
          <w:tcPr>
            <w:tcW w:w="1014" w:type="dxa"/>
            <w:tcBorders>
              <w:tl2br w:val="nil"/>
              <w:tr2bl w:val="nil"/>
            </w:tcBorders>
            <w:vAlign w:val="center"/>
          </w:tcPr>
          <w:p w14:paraId="496D61EF">
            <w:pPr>
              <w:pStyle w:val="16"/>
              <w:jc w:val="center"/>
              <w:rPr>
                <w:color w:val="auto"/>
              </w:rPr>
            </w:pPr>
            <w:r>
              <w:rPr>
                <w:color w:val="auto"/>
              </w:rPr>
              <w:t>区域名称</w:t>
            </w:r>
          </w:p>
        </w:tc>
        <w:tc>
          <w:tcPr>
            <w:tcW w:w="1665" w:type="dxa"/>
            <w:tcBorders>
              <w:tl2br w:val="nil"/>
              <w:tr2bl w:val="nil"/>
            </w:tcBorders>
            <w:vAlign w:val="center"/>
          </w:tcPr>
          <w:p w14:paraId="0452E32C">
            <w:pPr>
              <w:pStyle w:val="16"/>
              <w:jc w:val="center"/>
              <w:rPr>
                <w:color w:val="auto"/>
              </w:rPr>
            </w:pPr>
            <w:r>
              <w:rPr>
                <w:color w:val="auto"/>
              </w:rPr>
              <w:t>管控类别</w:t>
            </w:r>
          </w:p>
        </w:tc>
        <w:tc>
          <w:tcPr>
            <w:tcW w:w="6705" w:type="dxa"/>
            <w:tcBorders>
              <w:tl2br w:val="nil"/>
              <w:tr2bl w:val="nil"/>
            </w:tcBorders>
            <w:vAlign w:val="center"/>
          </w:tcPr>
          <w:p w14:paraId="7AE1BE30">
            <w:pPr>
              <w:pStyle w:val="16"/>
              <w:jc w:val="center"/>
              <w:rPr>
                <w:color w:val="auto"/>
              </w:rPr>
            </w:pPr>
            <w:r>
              <w:rPr>
                <w:color w:val="auto"/>
              </w:rPr>
              <w:t>单元特性管控要求</w:t>
            </w:r>
          </w:p>
        </w:tc>
        <w:tc>
          <w:tcPr>
            <w:tcW w:w="2439" w:type="dxa"/>
            <w:tcBorders>
              <w:tl2br w:val="nil"/>
              <w:tr2bl w:val="nil"/>
            </w:tcBorders>
            <w:vAlign w:val="center"/>
          </w:tcPr>
          <w:p w14:paraId="414A21E9">
            <w:pPr>
              <w:pStyle w:val="16"/>
              <w:jc w:val="center"/>
              <w:rPr>
                <w:color w:val="auto"/>
              </w:rPr>
            </w:pPr>
            <w:r>
              <w:rPr>
                <w:rFonts w:hint="eastAsia"/>
                <w:color w:val="auto"/>
              </w:rPr>
              <w:t>本项目情况</w:t>
            </w:r>
          </w:p>
        </w:tc>
        <w:tc>
          <w:tcPr>
            <w:tcW w:w="1038" w:type="dxa"/>
            <w:tcBorders>
              <w:tl2br w:val="nil"/>
              <w:tr2bl w:val="nil"/>
            </w:tcBorders>
            <w:vAlign w:val="center"/>
          </w:tcPr>
          <w:p w14:paraId="5403C5D4">
            <w:pPr>
              <w:pStyle w:val="16"/>
              <w:jc w:val="center"/>
              <w:rPr>
                <w:color w:val="auto"/>
              </w:rPr>
            </w:pPr>
            <w:r>
              <w:rPr>
                <w:rFonts w:hint="eastAsia"/>
                <w:color w:val="auto"/>
              </w:rPr>
              <w:t>是否符合</w:t>
            </w:r>
          </w:p>
        </w:tc>
      </w:tr>
      <w:tr w14:paraId="401C73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restart"/>
            <w:tcBorders>
              <w:tl2br w:val="nil"/>
              <w:tr2bl w:val="nil"/>
            </w:tcBorders>
            <w:vAlign w:val="center"/>
          </w:tcPr>
          <w:p w14:paraId="561800E4">
            <w:pPr>
              <w:pStyle w:val="16"/>
              <w:jc w:val="center"/>
              <w:rPr>
                <w:color w:val="auto"/>
              </w:rPr>
            </w:pPr>
            <w:r>
              <w:rPr>
                <w:color w:val="auto"/>
              </w:rPr>
              <w:t>通江县</w:t>
            </w:r>
          </w:p>
        </w:tc>
        <w:tc>
          <w:tcPr>
            <w:tcW w:w="1014" w:type="dxa"/>
            <w:vMerge w:val="restart"/>
            <w:tcBorders>
              <w:tl2br w:val="nil"/>
              <w:tr2bl w:val="nil"/>
            </w:tcBorders>
            <w:vAlign w:val="center"/>
          </w:tcPr>
          <w:p w14:paraId="71E70EC8">
            <w:pPr>
              <w:pStyle w:val="16"/>
              <w:jc w:val="center"/>
              <w:rPr>
                <w:color w:val="auto"/>
              </w:rPr>
            </w:pPr>
            <w:r>
              <w:rPr>
                <w:color w:val="auto"/>
              </w:rPr>
              <w:t>通江县</w:t>
            </w:r>
          </w:p>
        </w:tc>
        <w:tc>
          <w:tcPr>
            <w:tcW w:w="1665" w:type="dxa"/>
            <w:tcBorders>
              <w:tl2br w:val="nil"/>
              <w:tr2bl w:val="nil"/>
            </w:tcBorders>
            <w:vAlign w:val="center"/>
          </w:tcPr>
          <w:p w14:paraId="482EF455">
            <w:pPr>
              <w:pStyle w:val="16"/>
              <w:rPr>
                <w:color w:val="auto"/>
              </w:rPr>
            </w:pPr>
            <w:r>
              <w:rPr>
                <w:color w:val="auto"/>
              </w:rPr>
              <w:t>空间布局约束</w:t>
            </w:r>
          </w:p>
        </w:tc>
        <w:tc>
          <w:tcPr>
            <w:tcW w:w="6705" w:type="dxa"/>
            <w:tcBorders>
              <w:tl2br w:val="nil"/>
              <w:tr2bl w:val="nil"/>
            </w:tcBorders>
            <w:vAlign w:val="center"/>
          </w:tcPr>
          <w:p w14:paraId="4C604D73">
            <w:pPr>
              <w:pStyle w:val="16"/>
              <w:rPr>
                <w:color w:val="auto"/>
              </w:rPr>
            </w:pPr>
            <w:r>
              <w:rPr>
                <w:color w:val="auto"/>
              </w:rPr>
              <w:t>持续加强工业“三废”治理，严格环境准入条件，落实“两高”企业退出制度。 -统筹生态环境保护与经济社会发展的关系，落实重点生态功能区的定位管控要求，加强生物多样性保护和天然林保护； -推进流域水生态环境修复与治理，更加注重城乡生态环境保护基础设施建设与管理。</w:t>
            </w:r>
          </w:p>
        </w:tc>
        <w:tc>
          <w:tcPr>
            <w:tcW w:w="2439" w:type="dxa"/>
            <w:tcBorders>
              <w:tl2br w:val="nil"/>
              <w:tr2bl w:val="nil"/>
            </w:tcBorders>
            <w:vAlign w:val="center"/>
          </w:tcPr>
          <w:p w14:paraId="25881630">
            <w:pPr>
              <w:pStyle w:val="16"/>
              <w:rPr>
                <w:color w:val="auto"/>
              </w:rPr>
            </w:pPr>
            <w:r>
              <w:rPr>
                <w:rFonts w:hint="eastAsia"/>
                <w:color w:val="auto"/>
              </w:rPr>
              <w:t>本项目施工期产生“三废”，三废均得到妥善处置，本项目不属于“两高”排放项目。</w:t>
            </w:r>
          </w:p>
        </w:tc>
        <w:tc>
          <w:tcPr>
            <w:tcW w:w="1038" w:type="dxa"/>
            <w:tcBorders>
              <w:tl2br w:val="nil"/>
              <w:tr2bl w:val="nil"/>
            </w:tcBorders>
            <w:vAlign w:val="center"/>
          </w:tcPr>
          <w:p w14:paraId="70C7E801">
            <w:pPr>
              <w:pStyle w:val="16"/>
              <w:jc w:val="center"/>
              <w:rPr>
                <w:color w:val="auto"/>
              </w:rPr>
            </w:pPr>
            <w:r>
              <w:rPr>
                <w:rFonts w:hint="eastAsia"/>
                <w:color w:val="auto"/>
              </w:rPr>
              <w:t>符合</w:t>
            </w:r>
          </w:p>
        </w:tc>
      </w:tr>
      <w:tr w14:paraId="2D2400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vAlign w:val="center"/>
          </w:tcPr>
          <w:p w14:paraId="1E969951">
            <w:pPr>
              <w:pStyle w:val="16"/>
              <w:rPr>
                <w:color w:val="auto"/>
              </w:rPr>
            </w:pPr>
          </w:p>
        </w:tc>
        <w:tc>
          <w:tcPr>
            <w:tcW w:w="1014" w:type="dxa"/>
            <w:vMerge w:val="continue"/>
            <w:tcBorders>
              <w:tl2br w:val="nil"/>
              <w:tr2bl w:val="nil"/>
            </w:tcBorders>
            <w:vAlign w:val="center"/>
          </w:tcPr>
          <w:p w14:paraId="128487B4">
            <w:pPr>
              <w:pStyle w:val="16"/>
              <w:rPr>
                <w:color w:val="auto"/>
              </w:rPr>
            </w:pPr>
          </w:p>
        </w:tc>
        <w:tc>
          <w:tcPr>
            <w:tcW w:w="1665" w:type="dxa"/>
            <w:tcBorders>
              <w:tl2br w:val="nil"/>
              <w:tr2bl w:val="nil"/>
            </w:tcBorders>
            <w:vAlign w:val="center"/>
          </w:tcPr>
          <w:p w14:paraId="0156BE9D">
            <w:pPr>
              <w:pStyle w:val="16"/>
              <w:rPr>
                <w:color w:val="auto"/>
              </w:rPr>
            </w:pPr>
            <w:r>
              <w:rPr>
                <w:color w:val="auto"/>
              </w:rPr>
              <w:t>污染物排放管控</w:t>
            </w:r>
          </w:p>
        </w:tc>
        <w:tc>
          <w:tcPr>
            <w:tcW w:w="6705" w:type="dxa"/>
            <w:tcBorders>
              <w:tl2br w:val="nil"/>
              <w:tr2bl w:val="nil"/>
            </w:tcBorders>
            <w:vAlign w:val="center"/>
          </w:tcPr>
          <w:p w14:paraId="77DB45AE">
            <w:pPr>
              <w:pStyle w:val="16"/>
              <w:rPr>
                <w:color w:val="auto"/>
              </w:rPr>
            </w:pPr>
            <w:r>
              <w:rPr>
                <w:rFonts w:hint="eastAsia"/>
                <w:color w:val="auto"/>
              </w:rPr>
              <w:t>/</w:t>
            </w:r>
          </w:p>
        </w:tc>
        <w:tc>
          <w:tcPr>
            <w:tcW w:w="2439" w:type="dxa"/>
            <w:tcBorders>
              <w:tl2br w:val="nil"/>
              <w:tr2bl w:val="nil"/>
            </w:tcBorders>
            <w:vAlign w:val="center"/>
          </w:tcPr>
          <w:p w14:paraId="320D0A57">
            <w:pPr>
              <w:pStyle w:val="16"/>
              <w:rPr>
                <w:color w:val="auto"/>
              </w:rPr>
            </w:pPr>
            <w:r>
              <w:rPr>
                <w:rFonts w:hint="eastAsia"/>
                <w:color w:val="auto"/>
              </w:rPr>
              <w:t>/</w:t>
            </w:r>
          </w:p>
        </w:tc>
        <w:tc>
          <w:tcPr>
            <w:tcW w:w="1038" w:type="dxa"/>
            <w:tcBorders>
              <w:tl2br w:val="nil"/>
              <w:tr2bl w:val="nil"/>
            </w:tcBorders>
            <w:vAlign w:val="center"/>
          </w:tcPr>
          <w:p w14:paraId="395280CD">
            <w:pPr>
              <w:pStyle w:val="16"/>
              <w:jc w:val="center"/>
              <w:rPr>
                <w:color w:val="auto"/>
              </w:rPr>
            </w:pPr>
            <w:r>
              <w:rPr>
                <w:rFonts w:hint="eastAsia"/>
                <w:color w:val="auto"/>
              </w:rPr>
              <w:t>/</w:t>
            </w:r>
          </w:p>
        </w:tc>
      </w:tr>
      <w:tr w14:paraId="6AF78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vAlign w:val="center"/>
          </w:tcPr>
          <w:p w14:paraId="5924D829">
            <w:pPr>
              <w:pStyle w:val="16"/>
              <w:rPr>
                <w:color w:val="auto"/>
              </w:rPr>
            </w:pPr>
          </w:p>
        </w:tc>
        <w:tc>
          <w:tcPr>
            <w:tcW w:w="1014" w:type="dxa"/>
            <w:vMerge w:val="continue"/>
            <w:tcBorders>
              <w:tl2br w:val="nil"/>
              <w:tr2bl w:val="nil"/>
            </w:tcBorders>
            <w:vAlign w:val="center"/>
          </w:tcPr>
          <w:p w14:paraId="75857A41">
            <w:pPr>
              <w:pStyle w:val="16"/>
              <w:rPr>
                <w:color w:val="auto"/>
              </w:rPr>
            </w:pPr>
          </w:p>
        </w:tc>
        <w:tc>
          <w:tcPr>
            <w:tcW w:w="1665" w:type="dxa"/>
            <w:tcBorders>
              <w:tl2br w:val="nil"/>
              <w:tr2bl w:val="nil"/>
            </w:tcBorders>
            <w:vAlign w:val="center"/>
          </w:tcPr>
          <w:p w14:paraId="1CAFF5E5">
            <w:pPr>
              <w:pStyle w:val="16"/>
              <w:rPr>
                <w:color w:val="auto"/>
              </w:rPr>
            </w:pPr>
            <w:r>
              <w:rPr>
                <w:color w:val="auto"/>
              </w:rPr>
              <w:t>环境风险防控</w:t>
            </w:r>
          </w:p>
        </w:tc>
        <w:tc>
          <w:tcPr>
            <w:tcW w:w="6705" w:type="dxa"/>
            <w:tcBorders>
              <w:tl2br w:val="nil"/>
              <w:tr2bl w:val="nil"/>
            </w:tcBorders>
            <w:vAlign w:val="center"/>
          </w:tcPr>
          <w:p w14:paraId="2579036C">
            <w:pPr>
              <w:pStyle w:val="16"/>
              <w:rPr>
                <w:color w:val="auto"/>
              </w:rPr>
            </w:pPr>
            <w:r>
              <w:rPr>
                <w:color w:val="auto"/>
              </w:rPr>
              <w:t xml:space="preserve"> -进一步调整优化矿产资源开发利用，加强矿产、油气等资源开发项目和工矿废弃地的污染治理及生态修复； -强化水土流失防治，注重水源涵养地保护。加强对诺水河、新场、铁溪等区域的生态环境重点管控，从严审批各类资源开发项目。</w:t>
            </w:r>
          </w:p>
        </w:tc>
        <w:tc>
          <w:tcPr>
            <w:tcW w:w="2439" w:type="dxa"/>
            <w:tcBorders>
              <w:tl2br w:val="nil"/>
              <w:tr2bl w:val="nil"/>
            </w:tcBorders>
            <w:vAlign w:val="center"/>
          </w:tcPr>
          <w:p w14:paraId="2E8506AD">
            <w:pPr>
              <w:pStyle w:val="16"/>
              <w:rPr>
                <w:color w:val="auto"/>
              </w:rPr>
            </w:pPr>
            <w:r>
              <w:rPr>
                <w:rFonts w:hint="eastAsia"/>
                <w:color w:val="auto"/>
              </w:rPr>
              <w:t>本项目水土保持措施包括对场地进行表土剥离，堆放在管道两侧。施工期间，对临时堆土及裸露地表进行临时苫盖，对部分堆土陡坡区域进行临时拦挡；施工后期，施工结束后对管沟施工作业带回覆表土、对耕地区域进行复耕，对草地及其他土地区域进行土地整治，整地完成后撒草绿化。</w:t>
            </w:r>
          </w:p>
        </w:tc>
        <w:tc>
          <w:tcPr>
            <w:tcW w:w="1038" w:type="dxa"/>
            <w:tcBorders>
              <w:tl2br w:val="nil"/>
              <w:tr2bl w:val="nil"/>
            </w:tcBorders>
            <w:vAlign w:val="center"/>
          </w:tcPr>
          <w:p w14:paraId="405DD66A">
            <w:pPr>
              <w:pStyle w:val="16"/>
              <w:jc w:val="center"/>
              <w:rPr>
                <w:color w:val="auto"/>
              </w:rPr>
            </w:pPr>
            <w:r>
              <w:rPr>
                <w:rFonts w:hint="eastAsia"/>
                <w:color w:val="auto"/>
              </w:rPr>
              <w:t>符合</w:t>
            </w:r>
          </w:p>
        </w:tc>
      </w:tr>
      <w:tr w14:paraId="54D82D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0" w:type="auto"/>
            <w:vMerge w:val="continue"/>
            <w:tcBorders>
              <w:tl2br w:val="nil"/>
              <w:tr2bl w:val="nil"/>
            </w:tcBorders>
            <w:vAlign w:val="center"/>
          </w:tcPr>
          <w:p w14:paraId="35707F3C">
            <w:pPr>
              <w:pStyle w:val="16"/>
              <w:rPr>
                <w:color w:val="auto"/>
              </w:rPr>
            </w:pPr>
          </w:p>
        </w:tc>
        <w:tc>
          <w:tcPr>
            <w:tcW w:w="1014" w:type="dxa"/>
            <w:vMerge w:val="continue"/>
            <w:tcBorders>
              <w:tl2br w:val="nil"/>
              <w:tr2bl w:val="nil"/>
            </w:tcBorders>
            <w:vAlign w:val="center"/>
          </w:tcPr>
          <w:p w14:paraId="37CDF132">
            <w:pPr>
              <w:pStyle w:val="16"/>
              <w:rPr>
                <w:color w:val="auto"/>
              </w:rPr>
            </w:pPr>
          </w:p>
        </w:tc>
        <w:tc>
          <w:tcPr>
            <w:tcW w:w="1665" w:type="dxa"/>
            <w:tcBorders>
              <w:tl2br w:val="nil"/>
              <w:tr2bl w:val="nil"/>
            </w:tcBorders>
            <w:vAlign w:val="center"/>
          </w:tcPr>
          <w:p w14:paraId="72AAE12E">
            <w:pPr>
              <w:pStyle w:val="16"/>
              <w:rPr>
                <w:color w:val="auto"/>
              </w:rPr>
            </w:pPr>
            <w:r>
              <w:rPr>
                <w:color w:val="auto"/>
              </w:rPr>
              <w:t>资源开发利用效率要求</w:t>
            </w:r>
          </w:p>
        </w:tc>
        <w:tc>
          <w:tcPr>
            <w:tcW w:w="6705" w:type="dxa"/>
            <w:tcBorders>
              <w:tl2br w:val="nil"/>
              <w:tr2bl w:val="nil"/>
            </w:tcBorders>
            <w:vAlign w:val="center"/>
          </w:tcPr>
          <w:p w14:paraId="208D8FA2">
            <w:pPr>
              <w:pStyle w:val="16"/>
              <w:rPr>
                <w:color w:val="auto"/>
              </w:rPr>
            </w:pPr>
            <w:r>
              <w:rPr>
                <w:rFonts w:hint="eastAsia"/>
                <w:color w:val="auto"/>
              </w:rPr>
              <w:t>/</w:t>
            </w:r>
          </w:p>
        </w:tc>
        <w:tc>
          <w:tcPr>
            <w:tcW w:w="2439" w:type="dxa"/>
            <w:tcBorders>
              <w:tl2br w:val="nil"/>
              <w:tr2bl w:val="nil"/>
            </w:tcBorders>
            <w:vAlign w:val="center"/>
          </w:tcPr>
          <w:p w14:paraId="71CBFF4F">
            <w:pPr>
              <w:pStyle w:val="16"/>
              <w:rPr>
                <w:color w:val="auto"/>
              </w:rPr>
            </w:pPr>
            <w:r>
              <w:rPr>
                <w:rFonts w:hint="eastAsia"/>
                <w:color w:val="auto"/>
              </w:rPr>
              <w:t>/</w:t>
            </w:r>
          </w:p>
        </w:tc>
        <w:tc>
          <w:tcPr>
            <w:tcW w:w="1038" w:type="dxa"/>
            <w:tcBorders>
              <w:tl2br w:val="nil"/>
              <w:tr2bl w:val="nil"/>
            </w:tcBorders>
            <w:vAlign w:val="center"/>
          </w:tcPr>
          <w:p w14:paraId="3A0E6226">
            <w:pPr>
              <w:pStyle w:val="16"/>
              <w:jc w:val="center"/>
              <w:rPr>
                <w:color w:val="auto"/>
              </w:rPr>
            </w:pPr>
            <w:r>
              <w:rPr>
                <w:rFonts w:hint="eastAsia"/>
                <w:color w:val="auto"/>
              </w:rPr>
              <w:t>/</w:t>
            </w:r>
          </w:p>
        </w:tc>
      </w:tr>
    </w:tbl>
    <w:p w14:paraId="045F6EA6">
      <w:pPr>
        <w:pStyle w:val="17"/>
        <w:rPr>
          <w:rFonts w:hint="default"/>
          <w:color w:val="auto"/>
        </w:rPr>
      </w:pPr>
      <w:r>
        <w:rPr>
          <w:color w:val="auto"/>
        </w:rPr>
        <w:t>表1-14 本项目与通江县一般管控单元准入清单符合性分析</w:t>
      </w:r>
    </w:p>
    <w:tbl>
      <w:tblPr>
        <w:tblStyle w:val="12"/>
        <w:tblW w:w="503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 w:type="dxa"/>
          <w:bottom w:w="0" w:type="dxa"/>
          <w:right w:w="10" w:type="dxa"/>
        </w:tblCellMar>
      </w:tblPr>
      <w:tblGrid>
        <w:gridCol w:w="977"/>
        <w:gridCol w:w="1132"/>
        <w:gridCol w:w="874"/>
        <w:gridCol w:w="966"/>
        <w:gridCol w:w="656"/>
        <w:gridCol w:w="5911"/>
        <w:gridCol w:w="2418"/>
        <w:gridCol w:w="615"/>
      </w:tblGrid>
      <w:tr w14:paraId="1E8FED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tcBorders>
              <w:tl2br w:val="nil"/>
              <w:tr2bl w:val="nil"/>
            </w:tcBorders>
            <w:vAlign w:val="center"/>
          </w:tcPr>
          <w:p w14:paraId="5C24989D">
            <w:pPr>
              <w:pStyle w:val="16"/>
              <w:jc w:val="center"/>
              <w:rPr>
                <w:color w:val="auto"/>
              </w:rPr>
            </w:pPr>
            <w:r>
              <w:rPr>
                <w:color w:val="auto"/>
              </w:rPr>
              <w:t>环境管控单元编码</w:t>
            </w:r>
          </w:p>
        </w:tc>
        <w:tc>
          <w:tcPr>
            <w:tcW w:w="1131" w:type="dxa"/>
            <w:tcBorders>
              <w:tl2br w:val="nil"/>
              <w:tr2bl w:val="nil"/>
            </w:tcBorders>
            <w:vAlign w:val="center"/>
          </w:tcPr>
          <w:p w14:paraId="02FFB5BA">
            <w:pPr>
              <w:pStyle w:val="16"/>
              <w:jc w:val="center"/>
              <w:rPr>
                <w:color w:val="auto"/>
              </w:rPr>
            </w:pPr>
            <w:r>
              <w:rPr>
                <w:color w:val="auto"/>
              </w:rPr>
              <w:t>环境管控单元名称</w:t>
            </w:r>
          </w:p>
        </w:tc>
        <w:tc>
          <w:tcPr>
            <w:tcW w:w="873" w:type="dxa"/>
            <w:tcBorders>
              <w:tl2br w:val="nil"/>
              <w:tr2bl w:val="nil"/>
            </w:tcBorders>
            <w:vAlign w:val="center"/>
          </w:tcPr>
          <w:p w14:paraId="26EB4942">
            <w:pPr>
              <w:pStyle w:val="16"/>
              <w:jc w:val="center"/>
              <w:rPr>
                <w:color w:val="auto"/>
              </w:rPr>
            </w:pPr>
            <w:r>
              <w:rPr>
                <w:color w:val="auto"/>
              </w:rPr>
              <w:t>管控单元类型</w:t>
            </w:r>
          </w:p>
        </w:tc>
        <w:tc>
          <w:tcPr>
            <w:tcW w:w="965" w:type="dxa"/>
            <w:tcBorders>
              <w:tl2br w:val="nil"/>
              <w:tr2bl w:val="nil"/>
            </w:tcBorders>
            <w:vAlign w:val="center"/>
          </w:tcPr>
          <w:p w14:paraId="2B6634A8">
            <w:pPr>
              <w:pStyle w:val="16"/>
              <w:jc w:val="center"/>
              <w:rPr>
                <w:color w:val="auto"/>
              </w:rPr>
            </w:pPr>
            <w:r>
              <w:rPr>
                <w:color w:val="auto"/>
              </w:rPr>
              <w:t>所属县区</w:t>
            </w:r>
          </w:p>
        </w:tc>
        <w:tc>
          <w:tcPr>
            <w:tcW w:w="656" w:type="dxa"/>
            <w:tcBorders>
              <w:tl2br w:val="nil"/>
              <w:tr2bl w:val="nil"/>
            </w:tcBorders>
            <w:vAlign w:val="center"/>
          </w:tcPr>
          <w:p w14:paraId="0AFEED0C">
            <w:pPr>
              <w:pStyle w:val="16"/>
              <w:jc w:val="center"/>
              <w:rPr>
                <w:color w:val="auto"/>
              </w:rPr>
            </w:pPr>
            <w:r>
              <w:rPr>
                <w:color w:val="auto"/>
              </w:rPr>
              <w:t>管控类别</w:t>
            </w:r>
          </w:p>
        </w:tc>
        <w:tc>
          <w:tcPr>
            <w:tcW w:w="5908" w:type="dxa"/>
            <w:tcBorders>
              <w:tl2br w:val="nil"/>
              <w:tr2bl w:val="nil"/>
            </w:tcBorders>
            <w:vAlign w:val="center"/>
          </w:tcPr>
          <w:p w14:paraId="70D89AEE">
            <w:pPr>
              <w:pStyle w:val="16"/>
              <w:jc w:val="center"/>
              <w:rPr>
                <w:color w:val="auto"/>
              </w:rPr>
            </w:pPr>
            <w:r>
              <w:rPr>
                <w:color w:val="auto"/>
              </w:rPr>
              <w:t>单元特性管控要求</w:t>
            </w:r>
          </w:p>
        </w:tc>
        <w:tc>
          <w:tcPr>
            <w:tcW w:w="2417" w:type="dxa"/>
            <w:tcBorders>
              <w:tl2br w:val="nil"/>
              <w:tr2bl w:val="nil"/>
            </w:tcBorders>
            <w:vAlign w:val="center"/>
          </w:tcPr>
          <w:p w14:paraId="40BC97CB">
            <w:pPr>
              <w:pStyle w:val="16"/>
              <w:jc w:val="center"/>
              <w:rPr>
                <w:color w:val="auto"/>
              </w:rPr>
            </w:pPr>
            <w:r>
              <w:rPr>
                <w:rFonts w:hint="eastAsia"/>
                <w:color w:val="auto"/>
              </w:rPr>
              <w:t>本项目情况</w:t>
            </w:r>
          </w:p>
        </w:tc>
        <w:tc>
          <w:tcPr>
            <w:tcW w:w="615" w:type="dxa"/>
            <w:tcBorders>
              <w:tl2br w:val="nil"/>
              <w:tr2bl w:val="nil"/>
            </w:tcBorders>
            <w:vAlign w:val="center"/>
          </w:tcPr>
          <w:p w14:paraId="1E181FFD">
            <w:pPr>
              <w:pStyle w:val="16"/>
              <w:jc w:val="center"/>
              <w:rPr>
                <w:color w:val="auto"/>
              </w:rPr>
            </w:pPr>
            <w:r>
              <w:rPr>
                <w:rFonts w:hint="eastAsia"/>
                <w:color w:val="auto"/>
              </w:rPr>
              <w:t>是否符合</w:t>
            </w:r>
          </w:p>
        </w:tc>
      </w:tr>
      <w:tr w14:paraId="74EC42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restart"/>
            <w:tcBorders>
              <w:tl2br w:val="nil"/>
              <w:tr2bl w:val="nil"/>
            </w:tcBorders>
            <w:vAlign w:val="center"/>
          </w:tcPr>
          <w:p w14:paraId="128B9186">
            <w:pPr>
              <w:pStyle w:val="16"/>
              <w:rPr>
                <w:color w:val="auto"/>
              </w:rPr>
            </w:pPr>
            <w:r>
              <w:rPr>
                <w:color w:val="auto"/>
              </w:rPr>
              <w:t>ZH51192130001</w:t>
            </w:r>
          </w:p>
        </w:tc>
        <w:tc>
          <w:tcPr>
            <w:tcW w:w="1131" w:type="dxa"/>
            <w:vMerge w:val="restart"/>
            <w:tcBorders>
              <w:tl2br w:val="nil"/>
              <w:tr2bl w:val="nil"/>
            </w:tcBorders>
            <w:vAlign w:val="center"/>
          </w:tcPr>
          <w:p w14:paraId="0F5A8CE9">
            <w:pPr>
              <w:pStyle w:val="16"/>
              <w:rPr>
                <w:color w:val="auto"/>
              </w:rPr>
            </w:pPr>
            <w:r>
              <w:rPr>
                <w:color w:val="auto"/>
              </w:rPr>
              <w:t>通江县一般管控单元</w:t>
            </w:r>
          </w:p>
        </w:tc>
        <w:tc>
          <w:tcPr>
            <w:tcW w:w="873" w:type="dxa"/>
            <w:vMerge w:val="restart"/>
            <w:tcBorders>
              <w:tl2br w:val="nil"/>
              <w:tr2bl w:val="nil"/>
            </w:tcBorders>
            <w:vAlign w:val="center"/>
          </w:tcPr>
          <w:p w14:paraId="1FDC8836">
            <w:pPr>
              <w:pStyle w:val="16"/>
              <w:rPr>
                <w:color w:val="auto"/>
              </w:rPr>
            </w:pPr>
            <w:r>
              <w:rPr>
                <w:color w:val="auto"/>
              </w:rPr>
              <w:t>一般管控单元</w:t>
            </w:r>
          </w:p>
        </w:tc>
        <w:tc>
          <w:tcPr>
            <w:tcW w:w="965" w:type="dxa"/>
            <w:vMerge w:val="restart"/>
            <w:tcBorders>
              <w:tl2br w:val="nil"/>
              <w:tr2bl w:val="nil"/>
            </w:tcBorders>
            <w:vAlign w:val="center"/>
          </w:tcPr>
          <w:p w14:paraId="6A62309E">
            <w:pPr>
              <w:pStyle w:val="16"/>
              <w:rPr>
                <w:color w:val="auto"/>
              </w:rPr>
            </w:pPr>
            <w:r>
              <w:rPr>
                <w:color w:val="auto"/>
              </w:rPr>
              <w:t>巴中市通江县</w:t>
            </w:r>
          </w:p>
        </w:tc>
        <w:tc>
          <w:tcPr>
            <w:tcW w:w="656" w:type="dxa"/>
            <w:tcBorders>
              <w:tl2br w:val="nil"/>
              <w:tr2bl w:val="nil"/>
            </w:tcBorders>
            <w:vAlign w:val="center"/>
          </w:tcPr>
          <w:p w14:paraId="53F015A8">
            <w:pPr>
              <w:pStyle w:val="16"/>
              <w:rPr>
                <w:color w:val="auto"/>
              </w:rPr>
            </w:pPr>
            <w:r>
              <w:rPr>
                <w:color w:val="auto"/>
              </w:rPr>
              <w:t>空间布局约束</w:t>
            </w:r>
          </w:p>
        </w:tc>
        <w:tc>
          <w:tcPr>
            <w:tcW w:w="5908" w:type="dxa"/>
            <w:tcBorders>
              <w:tl2br w:val="nil"/>
              <w:tr2bl w:val="nil"/>
            </w:tcBorders>
            <w:vAlign w:val="center"/>
          </w:tcPr>
          <w:p w14:paraId="3C7BBC54">
            <w:pPr>
              <w:pStyle w:val="16"/>
              <w:rPr>
                <w:color w:val="auto"/>
              </w:rPr>
            </w:pPr>
            <w:r>
              <w:rPr>
                <w:color w:val="auto"/>
              </w:rPr>
              <w:t>（1）严格执行《四川省国家重点生态功能区产业准入负面清单（第一批）（试行）》中通江县禁止类产业管控要求。 （2）其他执行一般管控单元普适性管控要求。（1）严格执行《四川省国家重点生态功能区产业准入负面清单（第一批）（试行）》中通江县限制类产业管控要求； （2）其他执行一般管控单元普适性管控要求。（1）现有企业按照相关规定限期入园搬迁或整治； （2）执行一般管控单元总体准入要求。</w:t>
            </w:r>
          </w:p>
        </w:tc>
        <w:tc>
          <w:tcPr>
            <w:tcW w:w="2417" w:type="dxa"/>
            <w:tcBorders>
              <w:tl2br w:val="nil"/>
              <w:tr2bl w:val="nil"/>
            </w:tcBorders>
            <w:vAlign w:val="center"/>
          </w:tcPr>
          <w:p w14:paraId="71F4A460">
            <w:pPr>
              <w:pStyle w:val="16"/>
              <w:rPr>
                <w:color w:val="auto"/>
              </w:rPr>
            </w:pPr>
            <w:r>
              <w:rPr>
                <w:color w:val="auto"/>
              </w:rPr>
              <w:t>本项目属于</w:t>
            </w:r>
            <w:r>
              <w:rPr>
                <w:rFonts w:hint="eastAsia"/>
                <w:color w:val="auto"/>
              </w:rPr>
              <w:t>供水与灌溉</w:t>
            </w:r>
            <w:r>
              <w:rPr>
                <w:color w:val="auto"/>
              </w:rPr>
              <w:t>工程，</w:t>
            </w:r>
            <w:r>
              <w:rPr>
                <w:rFonts w:hint="eastAsia"/>
                <w:color w:val="auto"/>
              </w:rPr>
              <w:t>不在</w:t>
            </w:r>
            <w:r>
              <w:rPr>
                <w:color w:val="auto"/>
              </w:rPr>
              <w:t>《四川省国家重点生态功能区产业准入负面清单（第一批）（试行）》中</w:t>
            </w:r>
            <w:r>
              <w:rPr>
                <w:rFonts w:hint="eastAsia"/>
                <w:color w:val="auto"/>
              </w:rPr>
              <w:t>。</w:t>
            </w:r>
          </w:p>
        </w:tc>
        <w:tc>
          <w:tcPr>
            <w:tcW w:w="615" w:type="dxa"/>
            <w:tcBorders>
              <w:tl2br w:val="nil"/>
              <w:tr2bl w:val="nil"/>
            </w:tcBorders>
            <w:vAlign w:val="center"/>
          </w:tcPr>
          <w:p w14:paraId="5152EA1D">
            <w:pPr>
              <w:pStyle w:val="16"/>
              <w:jc w:val="center"/>
              <w:rPr>
                <w:color w:val="auto"/>
              </w:rPr>
            </w:pPr>
            <w:r>
              <w:rPr>
                <w:rFonts w:hint="eastAsia"/>
                <w:color w:val="auto"/>
              </w:rPr>
              <w:t>符合</w:t>
            </w:r>
          </w:p>
        </w:tc>
      </w:tr>
      <w:tr w14:paraId="6902F0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vAlign w:val="center"/>
          </w:tcPr>
          <w:p w14:paraId="26BE803C">
            <w:pPr>
              <w:pStyle w:val="16"/>
              <w:rPr>
                <w:color w:val="auto"/>
              </w:rPr>
            </w:pPr>
          </w:p>
        </w:tc>
        <w:tc>
          <w:tcPr>
            <w:tcW w:w="1131" w:type="dxa"/>
            <w:vMerge w:val="continue"/>
            <w:tcBorders>
              <w:tl2br w:val="nil"/>
              <w:tr2bl w:val="nil"/>
            </w:tcBorders>
            <w:vAlign w:val="center"/>
          </w:tcPr>
          <w:p w14:paraId="754A4FD7">
            <w:pPr>
              <w:pStyle w:val="16"/>
              <w:rPr>
                <w:color w:val="auto"/>
              </w:rPr>
            </w:pPr>
          </w:p>
        </w:tc>
        <w:tc>
          <w:tcPr>
            <w:tcW w:w="873" w:type="dxa"/>
            <w:vMerge w:val="continue"/>
            <w:tcBorders>
              <w:tl2br w:val="nil"/>
              <w:tr2bl w:val="nil"/>
            </w:tcBorders>
            <w:vAlign w:val="center"/>
          </w:tcPr>
          <w:p w14:paraId="3EE5E756">
            <w:pPr>
              <w:pStyle w:val="16"/>
              <w:rPr>
                <w:color w:val="auto"/>
              </w:rPr>
            </w:pPr>
          </w:p>
        </w:tc>
        <w:tc>
          <w:tcPr>
            <w:tcW w:w="965" w:type="dxa"/>
            <w:vMerge w:val="continue"/>
            <w:tcBorders>
              <w:tl2br w:val="nil"/>
              <w:tr2bl w:val="nil"/>
            </w:tcBorders>
            <w:vAlign w:val="center"/>
          </w:tcPr>
          <w:p w14:paraId="14E8AE61">
            <w:pPr>
              <w:pStyle w:val="16"/>
              <w:rPr>
                <w:color w:val="auto"/>
              </w:rPr>
            </w:pPr>
          </w:p>
        </w:tc>
        <w:tc>
          <w:tcPr>
            <w:tcW w:w="656" w:type="dxa"/>
            <w:tcBorders>
              <w:tl2br w:val="nil"/>
              <w:tr2bl w:val="nil"/>
            </w:tcBorders>
            <w:vAlign w:val="center"/>
          </w:tcPr>
          <w:p w14:paraId="3D767470">
            <w:pPr>
              <w:pStyle w:val="16"/>
              <w:rPr>
                <w:color w:val="auto"/>
              </w:rPr>
            </w:pPr>
            <w:r>
              <w:rPr>
                <w:color w:val="auto"/>
              </w:rPr>
              <w:t>污染物排放管控</w:t>
            </w:r>
          </w:p>
        </w:tc>
        <w:tc>
          <w:tcPr>
            <w:tcW w:w="5908" w:type="dxa"/>
            <w:tcBorders>
              <w:tl2br w:val="nil"/>
              <w:tr2bl w:val="nil"/>
            </w:tcBorders>
            <w:vAlign w:val="center"/>
          </w:tcPr>
          <w:p w14:paraId="045DC52F">
            <w:pPr>
              <w:pStyle w:val="16"/>
              <w:rPr>
                <w:color w:val="auto"/>
              </w:rPr>
            </w:pPr>
            <w:r>
              <w:rPr>
                <w:color w:val="auto"/>
              </w:rPr>
              <w:t>执行一般管控单元总体准入要求执行一般管控单元总体准入要求执行一般管控单元总体准入要求执行一般管控单元总体准入要求</w:t>
            </w:r>
          </w:p>
        </w:tc>
        <w:tc>
          <w:tcPr>
            <w:tcW w:w="2417" w:type="dxa"/>
            <w:tcBorders>
              <w:tl2br w:val="nil"/>
              <w:tr2bl w:val="nil"/>
            </w:tcBorders>
            <w:vAlign w:val="center"/>
          </w:tcPr>
          <w:p w14:paraId="1C623D0C">
            <w:pPr>
              <w:pStyle w:val="16"/>
              <w:rPr>
                <w:color w:val="auto"/>
              </w:rPr>
            </w:pPr>
            <w:r>
              <w:rPr>
                <w:rFonts w:hint="eastAsia"/>
                <w:color w:val="auto"/>
              </w:rPr>
              <w:t>/</w:t>
            </w:r>
          </w:p>
        </w:tc>
        <w:tc>
          <w:tcPr>
            <w:tcW w:w="615" w:type="dxa"/>
            <w:tcBorders>
              <w:tl2br w:val="nil"/>
              <w:tr2bl w:val="nil"/>
            </w:tcBorders>
            <w:vAlign w:val="center"/>
          </w:tcPr>
          <w:p w14:paraId="7FCCA5D6">
            <w:pPr>
              <w:pStyle w:val="16"/>
              <w:jc w:val="center"/>
              <w:rPr>
                <w:color w:val="auto"/>
              </w:rPr>
            </w:pPr>
            <w:r>
              <w:rPr>
                <w:rFonts w:hint="eastAsia"/>
                <w:color w:val="auto"/>
              </w:rPr>
              <w:t>/</w:t>
            </w:r>
          </w:p>
        </w:tc>
      </w:tr>
      <w:tr w14:paraId="57549E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vAlign w:val="center"/>
          </w:tcPr>
          <w:p w14:paraId="30D48F6C">
            <w:pPr>
              <w:pStyle w:val="16"/>
              <w:rPr>
                <w:color w:val="auto"/>
              </w:rPr>
            </w:pPr>
          </w:p>
        </w:tc>
        <w:tc>
          <w:tcPr>
            <w:tcW w:w="1131" w:type="dxa"/>
            <w:vMerge w:val="continue"/>
            <w:tcBorders>
              <w:tl2br w:val="nil"/>
              <w:tr2bl w:val="nil"/>
            </w:tcBorders>
            <w:vAlign w:val="center"/>
          </w:tcPr>
          <w:p w14:paraId="658EEF69">
            <w:pPr>
              <w:pStyle w:val="16"/>
              <w:rPr>
                <w:color w:val="auto"/>
              </w:rPr>
            </w:pPr>
          </w:p>
        </w:tc>
        <w:tc>
          <w:tcPr>
            <w:tcW w:w="873" w:type="dxa"/>
            <w:vMerge w:val="continue"/>
            <w:tcBorders>
              <w:tl2br w:val="nil"/>
              <w:tr2bl w:val="nil"/>
            </w:tcBorders>
            <w:vAlign w:val="center"/>
          </w:tcPr>
          <w:p w14:paraId="37836C6E">
            <w:pPr>
              <w:pStyle w:val="16"/>
              <w:rPr>
                <w:color w:val="auto"/>
              </w:rPr>
            </w:pPr>
          </w:p>
        </w:tc>
        <w:tc>
          <w:tcPr>
            <w:tcW w:w="965" w:type="dxa"/>
            <w:vMerge w:val="continue"/>
            <w:tcBorders>
              <w:tl2br w:val="nil"/>
              <w:tr2bl w:val="nil"/>
            </w:tcBorders>
            <w:vAlign w:val="center"/>
          </w:tcPr>
          <w:p w14:paraId="47E39745">
            <w:pPr>
              <w:pStyle w:val="16"/>
              <w:rPr>
                <w:color w:val="auto"/>
              </w:rPr>
            </w:pPr>
          </w:p>
        </w:tc>
        <w:tc>
          <w:tcPr>
            <w:tcW w:w="656" w:type="dxa"/>
            <w:tcBorders>
              <w:tl2br w:val="nil"/>
              <w:tr2bl w:val="nil"/>
            </w:tcBorders>
            <w:vAlign w:val="center"/>
          </w:tcPr>
          <w:p w14:paraId="012F0DB5">
            <w:pPr>
              <w:pStyle w:val="16"/>
              <w:rPr>
                <w:color w:val="auto"/>
              </w:rPr>
            </w:pPr>
            <w:r>
              <w:rPr>
                <w:color w:val="auto"/>
              </w:rPr>
              <w:t>环境风险防控</w:t>
            </w:r>
          </w:p>
        </w:tc>
        <w:tc>
          <w:tcPr>
            <w:tcW w:w="5908" w:type="dxa"/>
            <w:tcBorders>
              <w:tl2br w:val="nil"/>
              <w:tr2bl w:val="nil"/>
            </w:tcBorders>
            <w:vAlign w:val="center"/>
          </w:tcPr>
          <w:p w14:paraId="052D91DA">
            <w:pPr>
              <w:pStyle w:val="16"/>
              <w:rPr>
                <w:color w:val="auto"/>
              </w:rPr>
            </w:pPr>
            <w:r>
              <w:rPr>
                <w:color w:val="auto"/>
              </w:rPr>
              <w:t>执行一般管控单元总体准入要求执行一般管控单元总体准入要求执行一般管控单元总体准入要求执行一般管控单元总体准入要求</w:t>
            </w:r>
          </w:p>
        </w:tc>
        <w:tc>
          <w:tcPr>
            <w:tcW w:w="2417" w:type="dxa"/>
            <w:tcBorders>
              <w:tl2br w:val="nil"/>
              <w:tr2bl w:val="nil"/>
            </w:tcBorders>
            <w:vAlign w:val="center"/>
          </w:tcPr>
          <w:p w14:paraId="40411B68">
            <w:pPr>
              <w:pStyle w:val="16"/>
              <w:rPr>
                <w:color w:val="auto"/>
              </w:rPr>
            </w:pPr>
            <w:r>
              <w:rPr>
                <w:rFonts w:hint="eastAsia"/>
                <w:color w:val="auto"/>
              </w:rPr>
              <w:t>/</w:t>
            </w:r>
          </w:p>
        </w:tc>
        <w:tc>
          <w:tcPr>
            <w:tcW w:w="615" w:type="dxa"/>
            <w:tcBorders>
              <w:tl2br w:val="nil"/>
              <w:tr2bl w:val="nil"/>
            </w:tcBorders>
            <w:vAlign w:val="center"/>
          </w:tcPr>
          <w:p w14:paraId="1CC5477F">
            <w:pPr>
              <w:pStyle w:val="16"/>
              <w:jc w:val="center"/>
              <w:rPr>
                <w:color w:val="auto"/>
              </w:rPr>
            </w:pPr>
            <w:r>
              <w:rPr>
                <w:rFonts w:hint="eastAsia"/>
                <w:color w:val="auto"/>
              </w:rPr>
              <w:t>/</w:t>
            </w:r>
          </w:p>
        </w:tc>
      </w:tr>
      <w:tr w14:paraId="3809EB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976" w:type="dxa"/>
            <w:vMerge w:val="continue"/>
            <w:tcBorders>
              <w:tl2br w:val="nil"/>
              <w:tr2bl w:val="nil"/>
            </w:tcBorders>
            <w:vAlign w:val="center"/>
          </w:tcPr>
          <w:p w14:paraId="64439E19">
            <w:pPr>
              <w:pStyle w:val="16"/>
              <w:rPr>
                <w:color w:val="auto"/>
              </w:rPr>
            </w:pPr>
          </w:p>
        </w:tc>
        <w:tc>
          <w:tcPr>
            <w:tcW w:w="1131" w:type="dxa"/>
            <w:vMerge w:val="continue"/>
            <w:tcBorders>
              <w:tl2br w:val="nil"/>
              <w:tr2bl w:val="nil"/>
            </w:tcBorders>
            <w:vAlign w:val="center"/>
          </w:tcPr>
          <w:p w14:paraId="111508D1">
            <w:pPr>
              <w:pStyle w:val="16"/>
              <w:rPr>
                <w:color w:val="auto"/>
              </w:rPr>
            </w:pPr>
          </w:p>
        </w:tc>
        <w:tc>
          <w:tcPr>
            <w:tcW w:w="873" w:type="dxa"/>
            <w:vMerge w:val="continue"/>
            <w:tcBorders>
              <w:tl2br w:val="nil"/>
              <w:tr2bl w:val="nil"/>
            </w:tcBorders>
            <w:vAlign w:val="center"/>
          </w:tcPr>
          <w:p w14:paraId="6EFFE455">
            <w:pPr>
              <w:pStyle w:val="16"/>
              <w:rPr>
                <w:color w:val="auto"/>
              </w:rPr>
            </w:pPr>
          </w:p>
        </w:tc>
        <w:tc>
          <w:tcPr>
            <w:tcW w:w="965" w:type="dxa"/>
            <w:vMerge w:val="continue"/>
            <w:tcBorders>
              <w:tl2br w:val="nil"/>
              <w:tr2bl w:val="nil"/>
            </w:tcBorders>
            <w:vAlign w:val="center"/>
          </w:tcPr>
          <w:p w14:paraId="69E789BC">
            <w:pPr>
              <w:pStyle w:val="16"/>
              <w:rPr>
                <w:color w:val="auto"/>
              </w:rPr>
            </w:pPr>
          </w:p>
        </w:tc>
        <w:tc>
          <w:tcPr>
            <w:tcW w:w="656" w:type="dxa"/>
            <w:tcBorders>
              <w:tl2br w:val="nil"/>
              <w:tr2bl w:val="nil"/>
            </w:tcBorders>
            <w:vAlign w:val="center"/>
          </w:tcPr>
          <w:p w14:paraId="729BF10C">
            <w:pPr>
              <w:pStyle w:val="16"/>
              <w:rPr>
                <w:color w:val="auto"/>
              </w:rPr>
            </w:pPr>
            <w:r>
              <w:rPr>
                <w:color w:val="auto"/>
              </w:rPr>
              <w:t>资源开发利用效率要求</w:t>
            </w:r>
          </w:p>
        </w:tc>
        <w:tc>
          <w:tcPr>
            <w:tcW w:w="5908" w:type="dxa"/>
            <w:tcBorders>
              <w:tl2br w:val="nil"/>
              <w:tr2bl w:val="nil"/>
            </w:tcBorders>
            <w:vAlign w:val="center"/>
          </w:tcPr>
          <w:p w14:paraId="637B4DF2">
            <w:pPr>
              <w:pStyle w:val="16"/>
              <w:rPr>
                <w:color w:val="auto"/>
              </w:rPr>
            </w:pPr>
            <w:r>
              <w:rPr>
                <w:color w:val="auto"/>
              </w:rPr>
              <w:t>执行一般管控单元总体准入要求执行一般管控单元总体准入要求</w:t>
            </w:r>
          </w:p>
        </w:tc>
        <w:tc>
          <w:tcPr>
            <w:tcW w:w="2417" w:type="dxa"/>
            <w:tcBorders>
              <w:tl2br w:val="nil"/>
              <w:tr2bl w:val="nil"/>
            </w:tcBorders>
            <w:vAlign w:val="center"/>
          </w:tcPr>
          <w:p w14:paraId="0C6A2F09">
            <w:pPr>
              <w:pStyle w:val="16"/>
              <w:rPr>
                <w:color w:val="auto"/>
              </w:rPr>
            </w:pPr>
            <w:r>
              <w:rPr>
                <w:rFonts w:hint="eastAsia"/>
                <w:color w:val="auto"/>
              </w:rPr>
              <w:t>/</w:t>
            </w:r>
          </w:p>
        </w:tc>
        <w:tc>
          <w:tcPr>
            <w:tcW w:w="615" w:type="dxa"/>
            <w:tcBorders>
              <w:tl2br w:val="nil"/>
              <w:tr2bl w:val="nil"/>
            </w:tcBorders>
            <w:vAlign w:val="center"/>
          </w:tcPr>
          <w:p w14:paraId="609B11E2">
            <w:pPr>
              <w:pStyle w:val="16"/>
              <w:jc w:val="center"/>
              <w:rPr>
                <w:color w:val="auto"/>
              </w:rPr>
            </w:pPr>
            <w:r>
              <w:rPr>
                <w:rFonts w:hint="eastAsia"/>
                <w:color w:val="auto"/>
              </w:rPr>
              <w:t>/</w:t>
            </w:r>
          </w:p>
        </w:tc>
      </w:tr>
    </w:tbl>
    <w:p w14:paraId="6FAEF710">
      <w:pPr>
        <w:pStyle w:val="17"/>
        <w:rPr>
          <w:rFonts w:hint="default"/>
          <w:color w:val="auto"/>
        </w:rPr>
      </w:pPr>
      <w:r>
        <w:rPr>
          <w:color w:val="auto"/>
        </w:rPr>
        <w:t>表1-15 本项目与涉及要素管控分区管控要求符合性分析</w:t>
      </w:r>
    </w:p>
    <w:tbl>
      <w:tblPr>
        <w:tblStyle w:val="12"/>
        <w:tblW w:w="507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 w:type="dxa"/>
          <w:bottom w:w="0" w:type="dxa"/>
          <w:right w:w="10" w:type="dxa"/>
        </w:tblCellMar>
      </w:tblPr>
      <w:tblGrid>
        <w:gridCol w:w="1062"/>
        <w:gridCol w:w="955"/>
        <w:gridCol w:w="745"/>
        <w:gridCol w:w="904"/>
        <w:gridCol w:w="1074"/>
        <w:gridCol w:w="965"/>
        <w:gridCol w:w="1284"/>
        <w:gridCol w:w="3677"/>
        <w:gridCol w:w="2344"/>
        <w:gridCol w:w="655"/>
      </w:tblGrid>
      <w:tr w14:paraId="599A89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tcBorders>
              <w:tl2br w:val="nil"/>
              <w:tr2bl w:val="nil"/>
            </w:tcBorders>
            <w:vAlign w:val="center"/>
          </w:tcPr>
          <w:p w14:paraId="26491CD2">
            <w:pPr>
              <w:pStyle w:val="16"/>
              <w:jc w:val="center"/>
              <w:rPr>
                <w:color w:val="auto"/>
              </w:rPr>
            </w:pPr>
            <w:r>
              <w:rPr>
                <w:color w:val="auto"/>
              </w:rPr>
              <w:t>管控分区编码</w:t>
            </w:r>
          </w:p>
        </w:tc>
        <w:tc>
          <w:tcPr>
            <w:tcW w:w="954" w:type="dxa"/>
            <w:tcBorders>
              <w:tl2br w:val="nil"/>
              <w:tr2bl w:val="nil"/>
            </w:tcBorders>
            <w:vAlign w:val="center"/>
          </w:tcPr>
          <w:p w14:paraId="5DE36F71">
            <w:pPr>
              <w:pStyle w:val="16"/>
              <w:jc w:val="center"/>
              <w:rPr>
                <w:color w:val="auto"/>
              </w:rPr>
            </w:pPr>
            <w:r>
              <w:rPr>
                <w:color w:val="auto"/>
              </w:rPr>
              <w:t>管控分区名称</w:t>
            </w:r>
          </w:p>
        </w:tc>
        <w:tc>
          <w:tcPr>
            <w:tcW w:w="745" w:type="dxa"/>
            <w:tcBorders>
              <w:tl2br w:val="nil"/>
              <w:tr2bl w:val="nil"/>
            </w:tcBorders>
            <w:vAlign w:val="center"/>
          </w:tcPr>
          <w:p w14:paraId="79372301">
            <w:pPr>
              <w:pStyle w:val="16"/>
              <w:jc w:val="center"/>
              <w:rPr>
                <w:color w:val="auto"/>
              </w:rPr>
            </w:pPr>
            <w:r>
              <w:rPr>
                <w:color w:val="auto"/>
              </w:rPr>
              <w:t>管控区分类</w:t>
            </w:r>
          </w:p>
        </w:tc>
        <w:tc>
          <w:tcPr>
            <w:tcW w:w="903" w:type="dxa"/>
            <w:tcBorders>
              <w:tl2br w:val="nil"/>
              <w:tr2bl w:val="nil"/>
            </w:tcBorders>
            <w:vAlign w:val="center"/>
          </w:tcPr>
          <w:p w14:paraId="5346DF37">
            <w:pPr>
              <w:pStyle w:val="16"/>
              <w:jc w:val="center"/>
              <w:rPr>
                <w:color w:val="auto"/>
              </w:rPr>
            </w:pPr>
            <w:r>
              <w:rPr>
                <w:color w:val="auto"/>
              </w:rPr>
              <w:t>环境要素</w:t>
            </w:r>
          </w:p>
        </w:tc>
        <w:tc>
          <w:tcPr>
            <w:tcW w:w="1073" w:type="dxa"/>
            <w:tcBorders>
              <w:tl2br w:val="nil"/>
              <w:tr2bl w:val="nil"/>
            </w:tcBorders>
            <w:vAlign w:val="center"/>
          </w:tcPr>
          <w:p w14:paraId="60EE1293">
            <w:pPr>
              <w:pStyle w:val="16"/>
              <w:jc w:val="center"/>
              <w:rPr>
                <w:color w:val="auto"/>
              </w:rPr>
            </w:pPr>
            <w:r>
              <w:rPr>
                <w:color w:val="auto"/>
              </w:rPr>
              <w:t>要素细类</w:t>
            </w:r>
          </w:p>
        </w:tc>
        <w:tc>
          <w:tcPr>
            <w:tcW w:w="964" w:type="dxa"/>
            <w:tcBorders>
              <w:tl2br w:val="nil"/>
              <w:tr2bl w:val="nil"/>
            </w:tcBorders>
            <w:vAlign w:val="center"/>
          </w:tcPr>
          <w:p w14:paraId="284B8A30">
            <w:pPr>
              <w:pStyle w:val="16"/>
              <w:jc w:val="center"/>
              <w:rPr>
                <w:color w:val="auto"/>
              </w:rPr>
            </w:pPr>
            <w:r>
              <w:rPr>
                <w:color w:val="auto"/>
              </w:rPr>
              <w:t>所属县区</w:t>
            </w:r>
          </w:p>
        </w:tc>
        <w:tc>
          <w:tcPr>
            <w:tcW w:w="1283" w:type="dxa"/>
            <w:tcBorders>
              <w:tl2br w:val="nil"/>
              <w:tr2bl w:val="nil"/>
            </w:tcBorders>
            <w:vAlign w:val="center"/>
          </w:tcPr>
          <w:p w14:paraId="750125C8">
            <w:pPr>
              <w:pStyle w:val="16"/>
              <w:jc w:val="center"/>
              <w:rPr>
                <w:color w:val="auto"/>
              </w:rPr>
            </w:pPr>
            <w:r>
              <w:rPr>
                <w:color w:val="auto"/>
              </w:rPr>
              <w:t>管控类别</w:t>
            </w:r>
          </w:p>
        </w:tc>
        <w:tc>
          <w:tcPr>
            <w:tcW w:w="3675" w:type="dxa"/>
            <w:tcBorders>
              <w:tl2br w:val="nil"/>
              <w:tr2bl w:val="nil"/>
            </w:tcBorders>
            <w:vAlign w:val="center"/>
          </w:tcPr>
          <w:p w14:paraId="48135B66">
            <w:pPr>
              <w:pStyle w:val="16"/>
              <w:jc w:val="center"/>
              <w:rPr>
                <w:color w:val="auto"/>
              </w:rPr>
            </w:pPr>
            <w:r>
              <w:rPr>
                <w:color w:val="auto"/>
              </w:rPr>
              <w:t>管控分区管控要求</w:t>
            </w:r>
          </w:p>
        </w:tc>
        <w:tc>
          <w:tcPr>
            <w:tcW w:w="2342" w:type="dxa"/>
            <w:tcBorders>
              <w:tl2br w:val="nil"/>
              <w:tr2bl w:val="nil"/>
            </w:tcBorders>
            <w:vAlign w:val="center"/>
          </w:tcPr>
          <w:p w14:paraId="29A627B5">
            <w:pPr>
              <w:pStyle w:val="16"/>
              <w:jc w:val="center"/>
              <w:rPr>
                <w:color w:val="auto"/>
              </w:rPr>
            </w:pPr>
            <w:r>
              <w:rPr>
                <w:rFonts w:hint="eastAsia"/>
                <w:color w:val="auto"/>
              </w:rPr>
              <w:t>本项目情况</w:t>
            </w:r>
          </w:p>
        </w:tc>
        <w:tc>
          <w:tcPr>
            <w:tcW w:w="655" w:type="dxa"/>
            <w:tcBorders>
              <w:tl2br w:val="nil"/>
              <w:tr2bl w:val="nil"/>
            </w:tcBorders>
            <w:vAlign w:val="center"/>
          </w:tcPr>
          <w:p w14:paraId="664E0173">
            <w:pPr>
              <w:pStyle w:val="16"/>
              <w:jc w:val="center"/>
              <w:rPr>
                <w:color w:val="auto"/>
              </w:rPr>
            </w:pPr>
            <w:r>
              <w:rPr>
                <w:rFonts w:hint="eastAsia"/>
                <w:color w:val="auto"/>
              </w:rPr>
              <w:t>是否符合</w:t>
            </w:r>
          </w:p>
        </w:tc>
      </w:tr>
      <w:tr w14:paraId="6F7191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vAlign w:val="center"/>
          </w:tcPr>
          <w:p w14:paraId="189B8180">
            <w:pPr>
              <w:pStyle w:val="16"/>
              <w:rPr>
                <w:color w:val="auto"/>
              </w:rPr>
            </w:pPr>
            <w:r>
              <w:rPr>
                <w:color w:val="auto"/>
              </w:rPr>
              <w:t>YS5119213510001</w:t>
            </w:r>
          </w:p>
        </w:tc>
        <w:tc>
          <w:tcPr>
            <w:tcW w:w="954" w:type="dxa"/>
            <w:vMerge w:val="restart"/>
            <w:tcBorders>
              <w:tl2br w:val="nil"/>
              <w:tr2bl w:val="nil"/>
            </w:tcBorders>
            <w:vAlign w:val="center"/>
          </w:tcPr>
          <w:p w14:paraId="20C3C379">
            <w:pPr>
              <w:pStyle w:val="16"/>
              <w:rPr>
                <w:color w:val="auto"/>
              </w:rPr>
            </w:pPr>
            <w:r>
              <w:rPr>
                <w:color w:val="auto"/>
              </w:rPr>
              <w:t>通江县自然资源一般管控区</w:t>
            </w:r>
          </w:p>
        </w:tc>
        <w:tc>
          <w:tcPr>
            <w:tcW w:w="745" w:type="dxa"/>
            <w:vMerge w:val="restart"/>
            <w:tcBorders>
              <w:tl2br w:val="nil"/>
              <w:tr2bl w:val="nil"/>
            </w:tcBorders>
            <w:vAlign w:val="center"/>
          </w:tcPr>
          <w:p w14:paraId="112EC6BC">
            <w:pPr>
              <w:pStyle w:val="16"/>
              <w:rPr>
                <w:color w:val="auto"/>
              </w:rPr>
            </w:pPr>
            <w:r>
              <w:rPr>
                <w:color w:val="auto"/>
              </w:rPr>
              <w:t>一般管控区</w:t>
            </w:r>
          </w:p>
        </w:tc>
        <w:tc>
          <w:tcPr>
            <w:tcW w:w="903" w:type="dxa"/>
            <w:vMerge w:val="restart"/>
            <w:tcBorders>
              <w:tl2br w:val="nil"/>
              <w:tr2bl w:val="nil"/>
            </w:tcBorders>
            <w:vAlign w:val="center"/>
          </w:tcPr>
          <w:p w14:paraId="4A8AE29A">
            <w:pPr>
              <w:pStyle w:val="16"/>
              <w:rPr>
                <w:color w:val="auto"/>
              </w:rPr>
            </w:pPr>
            <w:r>
              <w:rPr>
                <w:color w:val="auto"/>
              </w:rPr>
              <w:t>自然资源</w:t>
            </w:r>
          </w:p>
        </w:tc>
        <w:tc>
          <w:tcPr>
            <w:tcW w:w="1073" w:type="dxa"/>
            <w:vMerge w:val="restart"/>
            <w:tcBorders>
              <w:tl2br w:val="nil"/>
              <w:tr2bl w:val="nil"/>
            </w:tcBorders>
            <w:vAlign w:val="center"/>
          </w:tcPr>
          <w:p w14:paraId="4D2412A6">
            <w:pPr>
              <w:pStyle w:val="16"/>
              <w:rPr>
                <w:color w:val="auto"/>
              </w:rPr>
            </w:pPr>
            <w:r>
              <w:rPr>
                <w:color w:val="auto"/>
              </w:rPr>
              <w:t>自然资源一般管控区</w:t>
            </w:r>
          </w:p>
        </w:tc>
        <w:tc>
          <w:tcPr>
            <w:tcW w:w="964" w:type="dxa"/>
            <w:vMerge w:val="restart"/>
            <w:tcBorders>
              <w:tl2br w:val="nil"/>
              <w:tr2bl w:val="nil"/>
            </w:tcBorders>
            <w:vAlign w:val="center"/>
          </w:tcPr>
          <w:p w14:paraId="7BEC48F0">
            <w:pPr>
              <w:pStyle w:val="16"/>
              <w:rPr>
                <w:color w:val="auto"/>
              </w:rPr>
            </w:pPr>
            <w:r>
              <w:rPr>
                <w:color w:val="auto"/>
              </w:rPr>
              <w:t>巴中市通江县</w:t>
            </w:r>
          </w:p>
        </w:tc>
        <w:tc>
          <w:tcPr>
            <w:tcW w:w="1283" w:type="dxa"/>
            <w:tcBorders>
              <w:tl2br w:val="nil"/>
              <w:tr2bl w:val="nil"/>
            </w:tcBorders>
            <w:vAlign w:val="center"/>
          </w:tcPr>
          <w:p w14:paraId="32B708D6">
            <w:pPr>
              <w:pStyle w:val="16"/>
              <w:rPr>
                <w:color w:val="auto"/>
              </w:rPr>
            </w:pPr>
            <w:r>
              <w:rPr>
                <w:color w:val="auto"/>
              </w:rPr>
              <w:t>空间布局约束</w:t>
            </w:r>
          </w:p>
        </w:tc>
        <w:tc>
          <w:tcPr>
            <w:tcW w:w="3675" w:type="dxa"/>
            <w:tcBorders>
              <w:tl2br w:val="nil"/>
              <w:tr2bl w:val="nil"/>
            </w:tcBorders>
            <w:vAlign w:val="center"/>
          </w:tcPr>
          <w:p w14:paraId="32DAD814">
            <w:pPr>
              <w:pStyle w:val="16"/>
              <w:rPr>
                <w:color w:val="auto"/>
              </w:rPr>
            </w:pPr>
            <w:r>
              <w:rPr>
                <w:color w:val="auto"/>
              </w:rPr>
              <w:t>合理开发高效利用水资源，建设节水型社会；优化土地利用布局与结构；优化产业空间布局，构建清洁能源体系。</w:t>
            </w:r>
          </w:p>
        </w:tc>
        <w:tc>
          <w:tcPr>
            <w:tcW w:w="2342" w:type="dxa"/>
            <w:tcBorders>
              <w:tl2br w:val="nil"/>
              <w:tr2bl w:val="nil"/>
            </w:tcBorders>
            <w:vAlign w:val="center"/>
          </w:tcPr>
          <w:p w14:paraId="10A0450B">
            <w:pPr>
              <w:pStyle w:val="16"/>
              <w:rPr>
                <w:color w:val="auto"/>
              </w:rPr>
            </w:pPr>
            <w:r>
              <w:rPr>
                <w:color w:val="auto"/>
              </w:rPr>
              <w:t>本项目属于</w:t>
            </w:r>
            <w:r>
              <w:rPr>
                <w:rFonts w:hint="eastAsia"/>
                <w:color w:val="auto"/>
              </w:rPr>
              <w:t>供水与灌溉</w:t>
            </w:r>
            <w:r>
              <w:rPr>
                <w:color w:val="auto"/>
              </w:rPr>
              <w:t>工程，</w:t>
            </w:r>
            <w:r>
              <w:rPr>
                <w:rFonts w:hint="eastAsia"/>
                <w:color w:val="auto"/>
              </w:rPr>
              <w:t>管道建设均采用节水设施设备。</w:t>
            </w:r>
          </w:p>
        </w:tc>
        <w:tc>
          <w:tcPr>
            <w:tcW w:w="655" w:type="dxa"/>
            <w:tcBorders>
              <w:tl2br w:val="nil"/>
              <w:tr2bl w:val="nil"/>
            </w:tcBorders>
            <w:vAlign w:val="center"/>
          </w:tcPr>
          <w:p w14:paraId="6F857F4D">
            <w:pPr>
              <w:pStyle w:val="16"/>
              <w:jc w:val="center"/>
              <w:rPr>
                <w:color w:val="auto"/>
              </w:rPr>
            </w:pPr>
            <w:r>
              <w:rPr>
                <w:rFonts w:hint="eastAsia"/>
                <w:color w:val="auto"/>
              </w:rPr>
              <w:t>符合</w:t>
            </w:r>
          </w:p>
        </w:tc>
      </w:tr>
      <w:tr w14:paraId="57FC20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72EE787B">
            <w:pPr>
              <w:pStyle w:val="16"/>
              <w:rPr>
                <w:color w:val="auto"/>
              </w:rPr>
            </w:pPr>
          </w:p>
        </w:tc>
        <w:tc>
          <w:tcPr>
            <w:tcW w:w="954" w:type="dxa"/>
            <w:vMerge w:val="continue"/>
            <w:tcBorders>
              <w:tl2br w:val="nil"/>
              <w:tr2bl w:val="nil"/>
            </w:tcBorders>
            <w:vAlign w:val="center"/>
          </w:tcPr>
          <w:p w14:paraId="4190F068">
            <w:pPr>
              <w:pStyle w:val="16"/>
              <w:rPr>
                <w:color w:val="auto"/>
              </w:rPr>
            </w:pPr>
          </w:p>
        </w:tc>
        <w:tc>
          <w:tcPr>
            <w:tcW w:w="745" w:type="dxa"/>
            <w:vMerge w:val="continue"/>
            <w:tcBorders>
              <w:tl2br w:val="nil"/>
              <w:tr2bl w:val="nil"/>
            </w:tcBorders>
            <w:vAlign w:val="center"/>
          </w:tcPr>
          <w:p w14:paraId="7063AB02">
            <w:pPr>
              <w:pStyle w:val="16"/>
              <w:rPr>
                <w:color w:val="auto"/>
              </w:rPr>
            </w:pPr>
          </w:p>
        </w:tc>
        <w:tc>
          <w:tcPr>
            <w:tcW w:w="903" w:type="dxa"/>
            <w:vMerge w:val="continue"/>
            <w:tcBorders>
              <w:tl2br w:val="nil"/>
              <w:tr2bl w:val="nil"/>
            </w:tcBorders>
            <w:vAlign w:val="center"/>
          </w:tcPr>
          <w:p w14:paraId="3AA454C7">
            <w:pPr>
              <w:pStyle w:val="16"/>
              <w:rPr>
                <w:color w:val="auto"/>
              </w:rPr>
            </w:pPr>
          </w:p>
        </w:tc>
        <w:tc>
          <w:tcPr>
            <w:tcW w:w="1073" w:type="dxa"/>
            <w:vMerge w:val="continue"/>
            <w:tcBorders>
              <w:tl2br w:val="nil"/>
              <w:tr2bl w:val="nil"/>
            </w:tcBorders>
            <w:vAlign w:val="center"/>
          </w:tcPr>
          <w:p w14:paraId="4D55233E">
            <w:pPr>
              <w:pStyle w:val="16"/>
              <w:rPr>
                <w:color w:val="auto"/>
              </w:rPr>
            </w:pPr>
          </w:p>
        </w:tc>
        <w:tc>
          <w:tcPr>
            <w:tcW w:w="964" w:type="dxa"/>
            <w:vMerge w:val="continue"/>
            <w:tcBorders>
              <w:tl2br w:val="nil"/>
              <w:tr2bl w:val="nil"/>
            </w:tcBorders>
            <w:vAlign w:val="center"/>
          </w:tcPr>
          <w:p w14:paraId="5635F044">
            <w:pPr>
              <w:pStyle w:val="16"/>
              <w:rPr>
                <w:color w:val="auto"/>
              </w:rPr>
            </w:pPr>
          </w:p>
        </w:tc>
        <w:tc>
          <w:tcPr>
            <w:tcW w:w="1283" w:type="dxa"/>
            <w:tcBorders>
              <w:tl2br w:val="nil"/>
              <w:tr2bl w:val="nil"/>
            </w:tcBorders>
            <w:vAlign w:val="center"/>
          </w:tcPr>
          <w:p w14:paraId="6E4F4C5F">
            <w:pPr>
              <w:pStyle w:val="16"/>
              <w:rPr>
                <w:color w:val="auto"/>
              </w:rPr>
            </w:pPr>
            <w:r>
              <w:rPr>
                <w:color w:val="auto"/>
              </w:rPr>
              <w:t>污染物排放管控</w:t>
            </w:r>
          </w:p>
        </w:tc>
        <w:tc>
          <w:tcPr>
            <w:tcW w:w="3675" w:type="dxa"/>
            <w:tcBorders>
              <w:tl2br w:val="nil"/>
              <w:tr2bl w:val="nil"/>
            </w:tcBorders>
            <w:vAlign w:val="center"/>
          </w:tcPr>
          <w:p w14:paraId="7331D963">
            <w:pPr>
              <w:pStyle w:val="16"/>
              <w:rPr>
                <w:color w:val="auto"/>
              </w:rPr>
            </w:pPr>
            <w:r>
              <w:rPr>
                <w:rFonts w:hint="eastAsia"/>
                <w:color w:val="auto"/>
              </w:rPr>
              <w:t>/</w:t>
            </w:r>
          </w:p>
        </w:tc>
        <w:tc>
          <w:tcPr>
            <w:tcW w:w="2342" w:type="dxa"/>
            <w:tcBorders>
              <w:tl2br w:val="nil"/>
              <w:tr2bl w:val="nil"/>
            </w:tcBorders>
            <w:vAlign w:val="center"/>
          </w:tcPr>
          <w:p w14:paraId="5A6D94FD">
            <w:pPr>
              <w:pStyle w:val="16"/>
              <w:rPr>
                <w:color w:val="auto"/>
              </w:rPr>
            </w:pPr>
            <w:r>
              <w:rPr>
                <w:rFonts w:hint="eastAsia"/>
                <w:color w:val="auto"/>
              </w:rPr>
              <w:t>/</w:t>
            </w:r>
          </w:p>
        </w:tc>
        <w:tc>
          <w:tcPr>
            <w:tcW w:w="655" w:type="dxa"/>
            <w:tcBorders>
              <w:tl2br w:val="nil"/>
              <w:tr2bl w:val="nil"/>
            </w:tcBorders>
            <w:vAlign w:val="center"/>
          </w:tcPr>
          <w:p w14:paraId="38F988A6">
            <w:pPr>
              <w:pStyle w:val="16"/>
              <w:jc w:val="center"/>
              <w:rPr>
                <w:color w:val="auto"/>
              </w:rPr>
            </w:pPr>
            <w:r>
              <w:rPr>
                <w:rFonts w:hint="eastAsia"/>
                <w:color w:val="auto"/>
              </w:rPr>
              <w:t>/</w:t>
            </w:r>
          </w:p>
        </w:tc>
      </w:tr>
      <w:tr w14:paraId="476538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7E85D94F">
            <w:pPr>
              <w:pStyle w:val="16"/>
              <w:rPr>
                <w:color w:val="auto"/>
              </w:rPr>
            </w:pPr>
          </w:p>
        </w:tc>
        <w:tc>
          <w:tcPr>
            <w:tcW w:w="954" w:type="dxa"/>
            <w:vMerge w:val="continue"/>
            <w:tcBorders>
              <w:tl2br w:val="nil"/>
              <w:tr2bl w:val="nil"/>
            </w:tcBorders>
            <w:vAlign w:val="center"/>
          </w:tcPr>
          <w:p w14:paraId="6FEEA4C8">
            <w:pPr>
              <w:pStyle w:val="16"/>
              <w:rPr>
                <w:color w:val="auto"/>
              </w:rPr>
            </w:pPr>
          </w:p>
        </w:tc>
        <w:tc>
          <w:tcPr>
            <w:tcW w:w="745" w:type="dxa"/>
            <w:vMerge w:val="continue"/>
            <w:tcBorders>
              <w:tl2br w:val="nil"/>
              <w:tr2bl w:val="nil"/>
            </w:tcBorders>
            <w:vAlign w:val="center"/>
          </w:tcPr>
          <w:p w14:paraId="31347AE1">
            <w:pPr>
              <w:pStyle w:val="16"/>
              <w:rPr>
                <w:color w:val="auto"/>
              </w:rPr>
            </w:pPr>
          </w:p>
        </w:tc>
        <w:tc>
          <w:tcPr>
            <w:tcW w:w="903" w:type="dxa"/>
            <w:vMerge w:val="continue"/>
            <w:tcBorders>
              <w:tl2br w:val="nil"/>
              <w:tr2bl w:val="nil"/>
            </w:tcBorders>
            <w:vAlign w:val="center"/>
          </w:tcPr>
          <w:p w14:paraId="455AC4B5">
            <w:pPr>
              <w:pStyle w:val="16"/>
              <w:rPr>
                <w:color w:val="auto"/>
              </w:rPr>
            </w:pPr>
          </w:p>
        </w:tc>
        <w:tc>
          <w:tcPr>
            <w:tcW w:w="1073" w:type="dxa"/>
            <w:vMerge w:val="continue"/>
            <w:tcBorders>
              <w:tl2br w:val="nil"/>
              <w:tr2bl w:val="nil"/>
            </w:tcBorders>
            <w:vAlign w:val="center"/>
          </w:tcPr>
          <w:p w14:paraId="46392BB8">
            <w:pPr>
              <w:pStyle w:val="16"/>
              <w:rPr>
                <w:color w:val="auto"/>
              </w:rPr>
            </w:pPr>
          </w:p>
        </w:tc>
        <w:tc>
          <w:tcPr>
            <w:tcW w:w="964" w:type="dxa"/>
            <w:vMerge w:val="continue"/>
            <w:tcBorders>
              <w:tl2br w:val="nil"/>
              <w:tr2bl w:val="nil"/>
            </w:tcBorders>
            <w:vAlign w:val="center"/>
          </w:tcPr>
          <w:p w14:paraId="1A4F1520">
            <w:pPr>
              <w:pStyle w:val="16"/>
              <w:rPr>
                <w:color w:val="auto"/>
              </w:rPr>
            </w:pPr>
          </w:p>
        </w:tc>
        <w:tc>
          <w:tcPr>
            <w:tcW w:w="1283" w:type="dxa"/>
            <w:tcBorders>
              <w:tl2br w:val="nil"/>
              <w:tr2bl w:val="nil"/>
            </w:tcBorders>
            <w:vAlign w:val="center"/>
          </w:tcPr>
          <w:p w14:paraId="66EA39F3">
            <w:pPr>
              <w:pStyle w:val="16"/>
              <w:rPr>
                <w:color w:val="auto"/>
              </w:rPr>
            </w:pPr>
            <w:r>
              <w:rPr>
                <w:color w:val="auto"/>
              </w:rPr>
              <w:t>环境风险防控</w:t>
            </w:r>
          </w:p>
        </w:tc>
        <w:tc>
          <w:tcPr>
            <w:tcW w:w="3675" w:type="dxa"/>
            <w:tcBorders>
              <w:tl2br w:val="nil"/>
              <w:tr2bl w:val="nil"/>
            </w:tcBorders>
            <w:vAlign w:val="center"/>
          </w:tcPr>
          <w:p w14:paraId="42BE0A80">
            <w:pPr>
              <w:pStyle w:val="16"/>
              <w:rPr>
                <w:color w:val="auto"/>
              </w:rPr>
            </w:pPr>
            <w:r>
              <w:rPr>
                <w:color w:val="auto"/>
              </w:rPr>
              <w:t>土地资源开发利用量不得超过土地资源利用上线控制性指标。</w:t>
            </w:r>
          </w:p>
        </w:tc>
        <w:tc>
          <w:tcPr>
            <w:tcW w:w="2342" w:type="dxa"/>
            <w:tcBorders>
              <w:tl2br w:val="nil"/>
              <w:tr2bl w:val="nil"/>
            </w:tcBorders>
            <w:vAlign w:val="center"/>
          </w:tcPr>
          <w:p w14:paraId="0FA5A792">
            <w:pPr>
              <w:pStyle w:val="16"/>
              <w:jc w:val="center"/>
              <w:rPr>
                <w:color w:val="auto"/>
              </w:rPr>
            </w:pPr>
            <w:r>
              <w:rPr>
                <w:rFonts w:hint="eastAsia"/>
                <w:color w:val="auto"/>
              </w:rPr>
              <w:t>本项目</w:t>
            </w:r>
            <w:r>
              <w:rPr>
                <w:color w:val="auto"/>
              </w:rPr>
              <w:t>土地资源开发利用量</w:t>
            </w:r>
            <w:r>
              <w:rPr>
                <w:rFonts w:hint="eastAsia"/>
                <w:color w:val="auto"/>
              </w:rPr>
              <w:t>未</w:t>
            </w:r>
            <w:r>
              <w:rPr>
                <w:color w:val="auto"/>
              </w:rPr>
              <w:t>超过土地资源利用上线控制性指标。</w:t>
            </w:r>
          </w:p>
        </w:tc>
        <w:tc>
          <w:tcPr>
            <w:tcW w:w="655" w:type="dxa"/>
            <w:tcBorders>
              <w:tl2br w:val="nil"/>
              <w:tr2bl w:val="nil"/>
            </w:tcBorders>
            <w:vAlign w:val="center"/>
          </w:tcPr>
          <w:p w14:paraId="611A4210">
            <w:pPr>
              <w:pStyle w:val="16"/>
              <w:jc w:val="center"/>
              <w:rPr>
                <w:color w:val="auto"/>
              </w:rPr>
            </w:pPr>
            <w:r>
              <w:rPr>
                <w:rFonts w:hint="eastAsia"/>
                <w:color w:val="auto"/>
              </w:rPr>
              <w:t>符合</w:t>
            </w:r>
          </w:p>
        </w:tc>
      </w:tr>
      <w:tr w14:paraId="1F3FEC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112AEFCD">
            <w:pPr>
              <w:pStyle w:val="16"/>
              <w:rPr>
                <w:color w:val="auto"/>
              </w:rPr>
            </w:pPr>
          </w:p>
        </w:tc>
        <w:tc>
          <w:tcPr>
            <w:tcW w:w="954" w:type="dxa"/>
            <w:vMerge w:val="continue"/>
            <w:tcBorders>
              <w:tl2br w:val="nil"/>
              <w:tr2bl w:val="nil"/>
            </w:tcBorders>
            <w:vAlign w:val="center"/>
          </w:tcPr>
          <w:p w14:paraId="373E4013">
            <w:pPr>
              <w:pStyle w:val="16"/>
              <w:rPr>
                <w:color w:val="auto"/>
              </w:rPr>
            </w:pPr>
          </w:p>
        </w:tc>
        <w:tc>
          <w:tcPr>
            <w:tcW w:w="745" w:type="dxa"/>
            <w:vMerge w:val="continue"/>
            <w:tcBorders>
              <w:tl2br w:val="nil"/>
              <w:tr2bl w:val="nil"/>
            </w:tcBorders>
            <w:vAlign w:val="center"/>
          </w:tcPr>
          <w:p w14:paraId="6A2CE002">
            <w:pPr>
              <w:pStyle w:val="16"/>
              <w:rPr>
                <w:color w:val="auto"/>
              </w:rPr>
            </w:pPr>
          </w:p>
        </w:tc>
        <w:tc>
          <w:tcPr>
            <w:tcW w:w="903" w:type="dxa"/>
            <w:vMerge w:val="continue"/>
            <w:tcBorders>
              <w:tl2br w:val="nil"/>
              <w:tr2bl w:val="nil"/>
            </w:tcBorders>
            <w:vAlign w:val="center"/>
          </w:tcPr>
          <w:p w14:paraId="569A9507">
            <w:pPr>
              <w:pStyle w:val="16"/>
              <w:rPr>
                <w:color w:val="auto"/>
              </w:rPr>
            </w:pPr>
          </w:p>
        </w:tc>
        <w:tc>
          <w:tcPr>
            <w:tcW w:w="1073" w:type="dxa"/>
            <w:vMerge w:val="continue"/>
            <w:tcBorders>
              <w:tl2br w:val="nil"/>
              <w:tr2bl w:val="nil"/>
            </w:tcBorders>
            <w:vAlign w:val="center"/>
          </w:tcPr>
          <w:p w14:paraId="03540164">
            <w:pPr>
              <w:pStyle w:val="16"/>
              <w:rPr>
                <w:color w:val="auto"/>
              </w:rPr>
            </w:pPr>
          </w:p>
        </w:tc>
        <w:tc>
          <w:tcPr>
            <w:tcW w:w="964" w:type="dxa"/>
            <w:vMerge w:val="continue"/>
            <w:tcBorders>
              <w:tl2br w:val="nil"/>
              <w:tr2bl w:val="nil"/>
            </w:tcBorders>
            <w:vAlign w:val="center"/>
          </w:tcPr>
          <w:p w14:paraId="48C6169F">
            <w:pPr>
              <w:pStyle w:val="16"/>
              <w:rPr>
                <w:color w:val="auto"/>
              </w:rPr>
            </w:pPr>
          </w:p>
        </w:tc>
        <w:tc>
          <w:tcPr>
            <w:tcW w:w="1283" w:type="dxa"/>
            <w:tcBorders>
              <w:tl2br w:val="nil"/>
              <w:tr2bl w:val="nil"/>
            </w:tcBorders>
            <w:vAlign w:val="center"/>
          </w:tcPr>
          <w:p w14:paraId="725E9B91">
            <w:pPr>
              <w:pStyle w:val="16"/>
              <w:rPr>
                <w:color w:val="auto"/>
              </w:rPr>
            </w:pPr>
            <w:r>
              <w:rPr>
                <w:color w:val="auto"/>
              </w:rPr>
              <w:t>资源开发利用效率要求</w:t>
            </w:r>
          </w:p>
        </w:tc>
        <w:tc>
          <w:tcPr>
            <w:tcW w:w="3675" w:type="dxa"/>
            <w:tcBorders>
              <w:tl2br w:val="nil"/>
              <w:tr2bl w:val="nil"/>
            </w:tcBorders>
            <w:vAlign w:val="center"/>
          </w:tcPr>
          <w:p w14:paraId="3282F74C">
            <w:pPr>
              <w:pStyle w:val="16"/>
              <w:rPr>
                <w:color w:val="auto"/>
              </w:rPr>
            </w:pPr>
            <w:r>
              <w:rPr>
                <w:rFonts w:hint="eastAsia"/>
                <w:color w:val="auto"/>
              </w:rPr>
              <w:t>/</w:t>
            </w:r>
          </w:p>
        </w:tc>
        <w:tc>
          <w:tcPr>
            <w:tcW w:w="2342" w:type="dxa"/>
            <w:tcBorders>
              <w:tl2br w:val="nil"/>
              <w:tr2bl w:val="nil"/>
            </w:tcBorders>
            <w:vAlign w:val="center"/>
          </w:tcPr>
          <w:p w14:paraId="6555EE8E">
            <w:pPr>
              <w:pStyle w:val="16"/>
              <w:rPr>
                <w:color w:val="auto"/>
              </w:rPr>
            </w:pPr>
            <w:r>
              <w:rPr>
                <w:rFonts w:hint="eastAsia"/>
                <w:color w:val="auto"/>
              </w:rPr>
              <w:t>/</w:t>
            </w:r>
          </w:p>
        </w:tc>
        <w:tc>
          <w:tcPr>
            <w:tcW w:w="655" w:type="dxa"/>
            <w:tcBorders>
              <w:tl2br w:val="nil"/>
              <w:tr2bl w:val="nil"/>
            </w:tcBorders>
            <w:vAlign w:val="center"/>
          </w:tcPr>
          <w:p w14:paraId="2CADB686">
            <w:pPr>
              <w:pStyle w:val="16"/>
              <w:jc w:val="center"/>
              <w:rPr>
                <w:color w:val="auto"/>
              </w:rPr>
            </w:pPr>
            <w:r>
              <w:rPr>
                <w:rFonts w:hint="eastAsia"/>
                <w:color w:val="auto"/>
              </w:rPr>
              <w:t>/</w:t>
            </w:r>
          </w:p>
        </w:tc>
      </w:tr>
      <w:tr w14:paraId="095196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vAlign w:val="center"/>
          </w:tcPr>
          <w:p w14:paraId="72649314">
            <w:pPr>
              <w:pStyle w:val="16"/>
              <w:rPr>
                <w:color w:val="auto"/>
              </w:rPr>
            </w:pPr>
            <w:r>
              <w:rPr>
                <w:color w:val="auto"/>
              </w:rPr>
              <w:t>YS5119213310001</w:t>
            </w:r>
          </w:p>
        </w:tc>
        <w:tc>
          <w:tcPr>
            <w:tcW w:w="954" w:type="dxa"/>
            <w:vMerge w:val="restart"/>
            <w:tcBorders>
              <w:tl2br w:val="nil"/>
              <w:tr2bl w:val="nil"/>
            </w:tcBorders>
            <w:vAlign w:val="center"/>
          </w:tcPr>
          <w:p w14:paraId="176B5CE1">
            <w:pPr>
              <w:pStyle w:val="16"/>
              <w:rPr>
                <w:color w:val="auto"/>
              </w:rPr>
            </w:pPr>
            <w:r>
              <w:rPr>
                <w:color w:val="auto"/>
              </w:rPr>
              <w:t>通江县大气环境一般管控区</w:t>
            </w:r>
          </w:p>
        </w:tc>
        <w:tc>
          <w:tcPr>
            <w:tcW w:w="745" w:type="dxa"/>
            <w:vMerge w:val="restart"/>
            <w:tcBorders>
              <w:tl2br w:val="nil"/>
              <w:tr2bl w:val="nil"/>
            </w:tcBorders>
            <w:vAlign w:val="center"/>
          </w:tcPr>
          <w:p w14:paraId="0CD6EBE6">
            <w:pPr>
              <w:pStyle w:val="16"/>
              <w:rPr>
                <w:color w:val="auto"/>
              </w:rPr>
            </w:pPr>
            <w:r>
              <w:rPr>
                <w:color w:val="auto"/>
              </w:rPr>
              <w:t>一般管控区</w:t>
            </w:r>
          </w:p>
        </w:tc>
        <w:tc>
          <w:tcPr>
            <w:tcW w:w="903" w:type="dxa"/>
            <w:vMerge w:val="restart"/>
            <w:tcBorders>
              <w:tl2br w:val="nil"/>
              <w:tr2bl w:val="nil"/>
            </w:tcBorders>
            <w:vAlign w:val="center"/>
          </w:tcPr>
          <w:p w14:paraId="2C2486F6">
            <w:pPr>
              <w:pStyle w:val="16"/>
              <w:rPr>
                <w:color w:val="auto"/>
              </w:rPr>
            </w:pPr>
            <w:r>
              <w:rPr>
                <w:color w:val="auto"/>
              </w:rPr>
              <w:t>大气</w:t>
            </w:r>
          </w:p>
        </w:tc>
        <w:tc>
          <w:tcPr>
            <w:tcW w:w="1073" w:type="dxa"/>
            <w:vMerge w:val="restart"/>
            <w:tcBorders>
              <w:tl2br w:val="nil"/>
              <w:tr2bl w:val="nil"/>
            </w:tcBorders>
            <w:vAlign w:val="center"/>
          </w:tcPr>
          <w:p w14:paraId="105A4BE2">
            <w:pPr>
              <w:pStyle w:val="16"/>
              <w:rPr>
                <w:color w:val="auto"/>
              </w:rPr>
            </w:pPr>
            <w:r>
              <w:rPr>
                <w:color w:val="auto"/>
              </w:rPr>
              <w:t>大气环境一般管控区</w:t>
            </w:r>
          </w:p>
        </w:tc>
        <w:tc>
          <w:tcPr>
            <w:tcW w:w="964" w:type="dxa"/>
            <w:vMerge w:val="restart"/>
            <w:tcBorders>
              <w:tl2br w:val="nil"/>
              <w:tr2bl w:val="nil"/>
            </w:tcBorders>
            <w:vAlign w:val="center"/>
          </w:tcPr>
          <w:p w14:paraId="731DDFA3">
            <w:pPr>
              <w:pStyle w:val="16"/>
              <w:rPr>
                <w:color w:val="auto"/>
              </w:rPr>
            </w:pPr>
            <w:r>
              <w:rPr>
                <w:color w:val="auto"/>
              </w:rPr>
              <w:t>巴中市通江县</w:t>
            </w:r>
          </w:p>
        </w:tc>
        <w:tc>
          <w:tcPr>
            <w:tcW w:w="1283" w:type="dxa"/>
            <w:tcBorders>
              <w:tl2br w:val="nil"/>
              <w:tr2bl w:val="nil"/>
            </w:tcBorders>
            <w:vAlign w:val="center"/>
          </w:tcPr>
          <w:p w14:paraId="5C195571">
            <w:pPr>
              <w:pStyle w:val="16"/>
              <w:rPr>
                <w:color w:val="auto"/>
              </w:rPr>
            </w:pPr>
            <w:r>
              <w:rPr>
                <w:color w:val="auto"/>
              </w:rPr>
              <w:t>空间布局约束</w:t>
            </w:r>
          </w:p>
        </w:tc>
        <w:tc>
          <w:tcPr>
            <w:tcW w:w="3675" w:type="dxa"/>
            <w:tcBorders>
              <w:tl2br w:val="nil"/>
              <w:tr2bl w:val="nil"/>
            </w:tcBorders>
            <w:vAlign w:val="center"/>
          </w:tcPr>
          <w:p w14:paraId="52EFB92D">
            <w:pPr>
              <w:pStyle w:val="16"/>
              <w:rPr>
                <w:color w:val="auto"/>
              </w:rPr>
            </w:pPr>
            <w:r>
              <w:rPr>
                <w:rFonts w:hint="eastAsia"/>
                <w:color w:val="auto"/>
              </w:rPr>
              <w:t>/</w:t>
            </w:r>
          </w:p>
        </w:tc>
        <w:tc>
          <w:tcPr>
            <w:tcW w:w="2342" w:type="dxa"/>
            <w:tcBorders>
              <w:tl2br w:val="nil"/>
              <w:tr2bl w:val="nil"/>
            </w:tcBorders>
            <w:vAlign w:val="center"/>
          </w:tcPr>
          <w:p w14:paraId="519FC71E">
            <w:pPr>
              <w:pStyle w:val="16"/>
              <w:rPr>
                <w:color w:val="auto"/>
              </w:rPr>
            </w:pPr>
            <w:r>
              <w:rPr>
                <w:rFonts w:hint="eastAsia"/>
                <w:color w:val="auto"/>
              </w:rPr>
              <w:t>/</w:t>
            </w:r>
          </w:p>
        </w:tc>
        <w:tc>
          <w:tcPr>
            <w:tcW w:w="655" w:type="dxa"/>
            <w:tcBorders>
              <w:tl2br w:val="nil"/>
              <w:tr2bl w:val="nil"/>
            </w:tcBorders>
            <w:vAlign w:val="center"/>
          </w:tcPr>
          <w:p w14:paraId="79A6A695">
            <w:pPr>
              <w:pStyle w:val="16"/>
              <w:jc w:val="center"/>
              <w:rPr>
                <w:color w:val="auto"/>
              </w:rPr>
            </w:pPr>
            <w:r>
              <w:rPr>
                <w:rFonts w:hint="eastAsia"/>
                <w:color w:val="auto"/>
              </w:rPr>
              <w:t>/</w:t>
            </w:r>
          </w:p>
        </w:tc>
      </w:tr>
      <w:tr w14:paraId="5CAB07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1A045D1E">
            <w:pPr>
              <w:pStyle w:val="16"/>
              <w:rPr>
                <w:color w:val="auto"/>
              </w:rPr>
            </w:pPr>
          </w:p>
        </w:tc>
        <w:tc>
          <w:tcPr>
            <w:tcW w:w="954" w:type="dxa"/>
            <w:vMerge w:val="continue"/>
            <w:tcBorders>
              <w:tl2br w:val="nil"/>
              <w:tr2bl w:val="nil"/>
            </w:tcBorders>
            <w:vAlign w:val="center"/>
          </w:tcPr>
          <w:p w14:paraId="3474FDFF">
            <w:pPr>
              <w:pStyle w:val="16"/>
              <w:rPr>
                <w:color w:val="auto"/>
              </w:rPr>
            </w:pPr>
          </w:p>
        </w:tc>
        <w:tc>
          <w:tcPr>
            <w:tcW w:w="745" w:type="dxa"/>
            <w:vMerge w:val="continue"/>
            <w:tcBorders>
              <w:tl2br w:val="nil"/>
              <w:tr2bl w:val="nil"/>
            </w:tcBorders>
            <w:vAlign w:val="center"/>
          </w:tcPr>
          <w:p w14:paraId="0740FF06">
            <w:pPr>
              <w:pStyle w:val="16"/>
              <w:rPr>
                <w:color w:val="auto"/>
              </w:rPr>
            </w:pPr>
          </w:p>
        </w:tc>
        <w:tc>
          <w:tcPr>
            <w:tcW w:w="903" w:type="dxa"/>
            <w:vMerge w:val="continue"/>
            <w:tcBorders>
              <w:tl2br w:val="nil"/>
              <w:tr2bl w:val="nil"/>
            </w:tcBorders>
            <w:vAlign w:val="center"/>
          </w:tcPr>
          <w:p w14:paraId="6384456C">
            <w:pPr>
              <w:pStyle w:val="16"/>
              <w:rPr>
                <w:color w:val="auto"/>
              </w:rPr>
            </w:pPr>
          </w:p>
        </w:tc>
        <w:tc>
          <w:tcPr>
            <w:tcW w:w="1073" w:type="dxa"/>
            <w:vMerge w:val="continue"/>
            <w:tcBorders>
              <w:tl2br w:val="nil"/>
              <w:tr2bl w:val="nil"/>
            </w:tcBorders>
            <w:vAlign w:val="center"/>
          </w:tcPr>
          <w:p w14:paraId="64681B92">
            <w:pPr>
              <w:pStyle w:val="16"/>
              <w:rPr>
                <w:color w:val="auto"/>
              </w:rPr>
            </w:pPr>
          </w:p>
        </w:tc>
        <w:tc>
          <w:tcPr>
            <w:tcW w:w="964" w:type="dxa"/>
            <w:vMerge w:val="continue"/>
            <w:tcBorders>
              <w:tl2br w:val="nil"/>
              <w:tr2bl w:val="nil"/>
            </w:tcBorders>
            <w:vAlign w:val="center"/>
          </w:tcPr>
          <w:p w14:paraId="08F699FE">
            <w:pPr>
              <w:pStyle w:val="16"/>
              <w:rPr>
                <w:color w:val="auto"/>
              </w:rPr>
            </w:pPr>
          </w:p>
        </w:tc>
        <w:tc>
          <w:tcPr>
            <w:tcW w:w="1283" w:type="dxa"/>
            <w:tcBorders>
              <w:tl2br w:val="nil"/>
              <w:tr2bl w:val="nil"/>
            </w:tcBorders>
            <w:vAlign w:val="center"/>
          </w:tcPr>
          <w:p w14:paraId="777E529A">
            <w:pPr>
              <w:pStyle w:val="16"/>
              <w:rPr>
                <w:color w:val="auto"/>
              </w:rPr>
            </w:pPr>
            <w:r>
              <w:rPr>
                <w:color w:val="auto"/>
              </w:rPr>
              <w:t>污染物排放管控</w:t>
            </w:r>
          </w:p>
        </w:tc>
        <w:tc>
          <w:tcPr>
            <w:tcW w:w="3675" w:type="dxa"/>
            <w:tcBorders>
              <w:tl2br w:val="nil"/>
              <w:tr2bl w:val="nil"/>
            </w:tcBorders>
            <w:vAlign w:val="center"/>
          </w:tcPr>
          <w:p w14:paraId="4433DA07">
            <w:pPr>
              <w:pStyle w:val="16"/>
              <w:rPr>
                <w:color w:val="auto"/>
              </w:rPr>
            </w:pPr>
            <w:r>
              <w:rPr>
                <w:color w:val="auto"/>
              </w:rPr>
              <w:t>《环境空气质量标准》（GB3095-20</w:t>
            </w:r>
            <w:r>
              <w:rPr>
                <w:rFonts w:hint="eastAsia"/>
                <w:color w:val="auto"/>
              </w:rPr>
              <w:t>26</w:t>
            </w:r>
            <w:r>
              <w:rPr>
                <w:color w:val="auto"/>
              </w:rPr>
              <w:t>）：二级是减少工业化、城镇化对大气环境的影响，严格执行国家、省、市下达的相关大气污染防治要求。</w:t>
            </w:r>
          </w:p>
        </w:tc>
        <w:tc>
          <w:tcPr>
            <w:tcW w:w="2342" w:type="dxa"/>
            <w:tcBorders>
              <w:tl2br w:val="nil"/>
              <w:tr2bl w:val="nil"/>
            </w:tcBorders>
            <w:vAlign w:val="center"/>
          </w:tcPr>
          <w:p w14:paraId="14401098">
            <w:pPr>
              <w:pStyle w:val="16"/>
              <w:rPr>
                <w:color w:val="auto"/>
              </w:rPr>
            </w:pPr>
            <w:r>
              <w:rPr>
                <w:rFonts w:hint="eastAsia"/>
                <w:color w:val="auto"/>
              </w:rPr>
              <w:t>项目所在地环境空气质量已达《</w:t>
            </w:r>
            <w:r>
              <w:rPr>
                <w:color w:val="auto"/>
              </w:rPr>
              <w:t>环境空气质量标准》（GB3095-20</w:t>
            </w:r>
            <w:r>
              <w:rPr>
                <w:rFonts w:hint="eastAsia"/>
                <w:color w:val="auto"/>
              </w:rPr>
              <w:t>26</w:t>
            </w:r>
            <w:r>
              <w:rPr>
                <w:color w:val="auto"/>
              </w:rPr>
              <w:t>）</w:t>
            </w:r>
            <w:r>
              <w:rPr>
                <w:rFonts w:hint="eastAsia"/>
                <w:color w:val="auto"/>
              </w:rPr>
              <w:t>二级标准。</w:t>
            </w:r>
          </w:p>
        </w:tc>
        <w:tc>
          <w:tcPr>
            <w:tcW w:w="655" w:type="dxa"/>
            <w:tcBorders>
              <w:tl2br w:val="nil"/>
              <w:tr2bl w:val="nil"/>
            </w:tcBorders>
            <w:vAlign w:val="center"/>
          </w:tcPr>
          <w:p w14:paraId="78C946B8">
            <w:pPr>
              <w:pStyle w:val="16"/>
              <w:jc w:val="center"/>
              <w:rPr>
                <w:color w:val="auto"/>
              </w:rPr>
            </w:pPr>
            <w:r>
              <w:rPr>
                <w:rFonts w:hint="eastAsia"/>
                <w:color w:val="auto"/>
              </w:rPr>
              <w:t>符合</w:t>
            </w:r>
          </w:p>
        </w:tc>
      </w:tr>
      <w:tr w14:paraId="161F4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90" w:hRule="atLeast"/>
        </w:trPr>
        <w:tc>
          <w:tcPr>
            <w:tcW w:w="1062" w:type="dxa"/>
            <w:vMerge w:val="continue"/>
            <w:tcBorders>
              <w:tl2br w:val="nil"/>
              <w:tr2bl w:val="nil"/>
            </w:tcBorders>
            <w:vAlign w:val="center"/>
          </w:tcPr>
          <w:p w14:paraId="283FB081">
            <w:pPr>
              <w:pStyle w:val="16"/>
              <w:rPr>
                <w:color w:val="auto"/>
              </w:rPr>
            </w:pPr>
          </w:p>
        </w:tc>
        <w:tc>
          <w:tcPr>
            <w:tcW w:w="954" w:type="dxa"/>
            <w:vMerge w:val="continue"/>
            <w:tcBorders>
              <w:tl2br w:val="nil"/>
              <w:tr2bl w:val="nil"/>
            </w:tcBorders>
            <w:vAlign w:val="center"/>
          </w:tcPr>
          <w:p w14:paraId="2E630634">
            <w:pPr>
              <w:pStyle w:val="16"/>
              <w:rPr>
                <w:color w:val="auto"/>
              </w:rPr>
            </w:pPr>
          </w:p>
        </w:tc>
        <w:tc>
          <w:tcPr>
            <w:tcW w:w="745" w:type="dxa"/>
            <w:vMerge w:val="continue"/>
            <w:tcBorders>
              <w:tl2br w:val="nil"/>
              <w:tr2bl w:val="nil"/>
            </w:tcBorders>
            <w:vAlign w:val="center"/>
          </w:tcPr>
          <w:p w14:paraId="27F1BB5B">
            <w:pPr>
              <w:pStyle w:val="16"/>
              <w:rPr>
                <w:color w:val="auto"/>
              </w:rPr>
            </w:pPr>
          </w:p>
        </w:tc>
        <w:tc>
          <w:tcPr>
            <w:tcW w:w="903" w:type="dxa"/>
            <w:vMerge w:val="continue"/>
            <w:tcBorders>
              <w:tl2br w:val="nil"/>
              <w:tr2bl w:val="nil"/>
            </w:tcBorders>
            <w:vAlign w:val="center"/>
          </w:tcPr>
          <w:p w14:paraId="7FAD49F4">
            <w:pPr>
              <w:pStyle w:val="16"/>
              <w:rPr>
                <w:color w:val="auto"/>
              </w:rPr>
            </w:pPr>
          </w:p>
        </w:tc>
        <w:tc>
          <w:tcPr>
            <w:tcW w:w="1073" w:type="dxa"/>
            <w:vMerge w:val="continue"/>
            <w:tcBorders>
              <w:tl2br w:val="nil"/>
              <w:tr2bl w:val="nil"/>
            </w:tcBorders>
            <w:vAlign w:val="center"/>
          </w:tcPr>
          <w:p w14:paraId="35FB02D0">
            <w:pPr>
              <w:pStyle w:val="16"/>
              <w:rPr>
                <w:color w:val="auto"/>
              </w:rPr>
            </w:pPr>
          </w:p>
        </w:tc>
        <w:tc>
          <w:tcPr>
            <w:tcW w:w="964" w:type="dxa"/>
            <w:vMerge w:val="continue"/>
            <w:tcBorders>
              <w:tl2br w:val="nil"/>
              <w:tr2bl w:val="nil"/>
            </w:tcBorders>
            <w:vAlign w:val="center"/>
          </w:tcPr>
          <w:p w14:paraId="79A7B210">
            <w:pPr>
              <w:pStyle w:val="16"/>
              <w:rPr>
                <w:color w:val="auto"/>
              </w:rPr>
            </w:pPr>
          </w:p>
        </w:tc>
        <w:tc>
          <w:tcPr>
            <w:tcW w:w="1283" w:type="dxa"/>
            <w:tcBorders>
              <w:tl2br w:val="nil"/>
              <w:tr2bl w:val="nil"/>
            </w:tcBorders>
            <w:vAlign w:val="center"/>
          </w:tcPr>
          <w:p w14:paraId="3166FB1C">
            <w:pPr>
              <w:pStyle w:val="16"/>
              <w:rPr>
                <w:color w:val="auto"/>
              </w:rPr>
            </w:pPr>
            <w:r>
              <w:rPr>
                <w:color w:val="auto"/>
              </w:rPr>
              <w:t>环境风险防控</w:t>
            </w:r>
          </w:p>
        </w:tc>
        <w:tc>
          <w:tcPr>
            <w:tcW w:w="3675" w:type="dxa"/>
            <w:tcBorders>
              <w:tl2br w:val="nil"/>
              <w:tr2bl w:val="nil"/>
            </w:tcBorders>
            <w:vAlign w:val="center"/>
          </w:tcPr>
          <w:p w14:paraId="56BC3F35">
            <w:pPr>
              <w:pStyle w:val="16"/>
              <w:rPr>
                <w:color w:val="auto"/>
              </w:rPr>
            </w:pPr>
            <w:r>
              <w:rPr>
                <w:rFonts w:hint="eastAsia"/>
                <w:color w:val="auto"/>
              </w:rPr>
              <w:t>/</w:t>
            </w:r>
          </w:p>
        </w:tc>
        <w:tc>
          <w:tcPr>
            <w:tcW w:w="2342" w:type="dxa"/>
            <w:tcBorders>
              <w:tl2br w:val="nil"/>
              <w:tr2bl w:val="nil"/>
            </w:tcBorders>
            <w:vAlign w:val="center"/>
          </w:tcPr>
          <w:p w14:paraId="0ED1AC86">
            <w:pPr>
              <w:pStyle w:val="16"/>
              <w:rPr>
                <w:color w:val="auto"/>
              </w:rPr>
            </w:pPr>
            <w:r>
              <w:rPr>
                <w:rFonts w:hint="eastAsia"/>
                <w:color w:val="auto"/>
              </w:rPr>
              <w:t>/</w:t>
            </w:r>
          </w:p>
        </w:tc>
        <w:tc>
          <w:tcPr>
            <w:tcW w:w="655" w:type="dxa"/>
            <w:tcBorders>
              <w:tl2br w:val="nil"/>
              <w:tr2bl w:val="nil"/>
            </w:tcBorders>
            <w:vAlign w:val="center"/>
          </w:tcPr>
          <w:p w14:paraId="1CD4431C">
            <w:pPr>
              <w:pStyle w:val="16"/>
              <w:jc w:val="center"/>
              <w:rPr>
                <w:color w:val="auto"/>
              </w:rPr>
            </w:pPr>
            <w:r>
              <w:rPr>
                <w:rFonts w:hint="eastAsia"/>
                <w:color w:val="auto"/>
              </w:rPr>
              <w:t>/</w:t>
            </w:r>
          </w:p>
        </w:tc>
      </w:tr>
      <w:tr w14:paraId="711C0C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48CDCDD0">
            <w:pPr>
              <w:pStyle w:val="16"/>
              <w:rPr>
                <w:color w:val="auto"/>
              </w:rPr>
            </w:pPr>
          </w:p>
        </w:tc>
        <w:tc>
          <w:tcPr>
            <w:tcW w:w="954" w:type="dxa"/>
            <w:vMerge w:val="continue"/>
            <w:tcBorders>
              <w:tl2br w:val="nil"/>
              <w:tr2bl w:val="nil"/>
            </w:tcBorders>
            <w:vAlign w:val="center"/>
          </w:tcPr>
          <w:p w14:paraId="1A5D6D8C">
            <w:pPr>
              <w:pStyle w:val="16"/>
              <w:rPr>
                <w:color w:val="auto"/>
              </w:rPr>
            </w:pPr>
          </w:p>
        </w:tc>
        <w:tc>
          <w:tcPr>
            <w:tcW w:w="745" w:type="dxa"/>
            <w:vMerge w:val="continue"/>
            <w:tcBorders>
              <w:tl2br w:val="nil"/>
              <w:tr2bl w:val="nil"/>
            </w:tcBorders>
            <w:vAlign w:val="center"/>
          </w:tcPr>
          <w:p w14:paraId="0D404431">
            <w:pPr>
              <w:pStyle w:val="16"/>
              <w:rPr>
                <w:color w:val="auto"/>
              </w:rPr>
            </w:pPr>
          </w:p>
        </w:tc>
        <w:tc>
          <w:tcPr>
            <w:tcW w:w="903" w:type="dxa"/>
            <w:vMerge w:val="continue"/>
            <w:tcBorders>
              <w:tl2br w:val="nil"/>
              <w:tr2bl w:val="nil"/>
            </w:tcBorders>
            <w:vAlign w:val="center"/>
          </w:tcPr>
          <w:p w14:paraId="7584C558">
            <w:pPr>
              <w:pStyle w:val="16"/>
              <w:rPr>
                <w:color w:val="auto"/>
              </w:rPr>
            </w:pPr>
          </w:p>
        </w:tc>
        <w:tc>
          <w:tcPr>
            <w:tcW w:w="1073" w:type="dxa"/>
            <w:vMerge w:val="continue"/>
            <w:tcBorders>
              <w:tl2br w:val="nil"/>
              <w:tr2bl w:val="nil"/>
            </w:tcBorders>
            <w:vAlign w:val="center"/>
          </w:tcPr>
          <w:p w14:paraId="0193ADFE">
            <w:pPr>
              <w:pStyle w:val="16"/>
              <w:rPr>
                <w:color w:val="auto"/>
              </w:rPr>
            </w:pPr>
          </w:p>
        </w:tc>
        <w:tc>
          <w:tcPr>
            <w:tcW w:w="964" w:type="dxa"/>
            <w:vMerge w:val="continue"/>
            <w:tcBorders>
              <w:tl2br w:val="nil"/>
              <w:tr2bl w:val="nil"/>
            </w:tcBorders>
            <w:vAlign w:val="center"/>
          </w:tcPr>
          <w:p w14:paraId="1986A7D7">
            <w:pPr>
              <w:pStyle w:val="16"/>
              <w:rPr>
                <w:color w:val="auto"/>
              </w:rPr>
            </w:pPr>
          </w:p>
        </w:tc>
        <w:tc>
          <w:tcPr>
            <w:tcW w:w="1283" w:type="dxa"/>
            <w:tcBorders>
              <w:tl2br w:val="nil"/>
              <w:tr2bl w:val="nil"/>
            </w:tcBorders>
            <w:vAlign w:val="center"/>
          </w:tcPr>
          <w:p w14:paraId="5DE1B048">
            <w:pPr>
              <w:pStyle w:val="16"/>
              <w:rPr>
                <w:color w:val="auto"/>
              </w:rPr>
            </w:pPr>
            <w:r>
              <w:rPr>
                <w:color w:val="auto"/>
              </w:rPr>
              <w:t>资源开发利用效率要求</w:t>
            </w:r>
          </w:p>
        </w:tc>
        <w:tc>
          <w:tcPr>
            <w:tcW w:w="3675" w:type="dxa"/>
            <w:tcBorders>
              <w:tl2br w:val="nil"/>
              <w:tr2bl w:val="nil"/>
            </w:tcBorders>
            <w:vAlign w:val="center"/>
          </w:tcPr>
          <w:p w14:paraId="3634A2F2">
            <w:pPr>
              <w:pStyle w:val="16"/>
              <w:rPr>
                <w:color w:val="auto"/>
              </w:rPr>
            </w:pPr>
            <w:r>
              <w:rPr>
                <w:rFonts w:hint="eastAsia"/>
                <w:color w:val="auto"/>
              </w:rPr>
              <w:t>/</w:t>
            </w:r>
          </w:p>
        </w:tc>
        <w:tc>
          <w:tcPr>
            <w:tcW w:w="2342" w:type="dxa"/>
            <w:tcBorders>
              <w:tl2br w:val="nil"/>
              <w:tr2bl w:val="nil"/>
            </w:tcBorders>
            <w:vAlign w:val="center"/>
          </w:tcPr>
          <w:p w14:paraId="1C5BE58C">
            <w:pPr>
              <w:pStyle w:val="16"/>
              <w:rPr>
                <w:color w:val="auto"/>
              </w:rPr>
            </w:pPr>
            <w:r>
              <w:rPr>
                <w:rFonts w:hint="eastAsia"/>
                <w:color w:val="auto"/>
              </w:rPr>
              <w:t>/</w:t>
            </w:r>
          </w:p>
        </w:tc>
        <w:tc>
          <w:tcPr>
            <w:tcW w:w="655" w:type="dxa"/>
            <w:tcBorders>
              <w:tl2br w:val="nil"/>
              <w:tr2bl w:val="nil"/>
            </w:tcBorders>
            <w:vAlign w:val="center"/>
          </w:tcPr>
          <w:p w14:paraId="0C81F837">
            <w:pPr>
              <w:pStyle w:val="16"/>
              <w:jc w:val="center"/>
              <w:rPr>
                <w:color w:val="auto"/>
              </w:rPr>
            </w:pPr>
            <w:r>
              <w:rPr>
                <w:rFonts w:hint="eastAsia"/>
                <w:color w:val="auto"/>
              </w:rPr>
              <w:t>/</w:t>
            </w:r>
          </w:p>
        </w:tc>
      </w:tr>
      <w:tr w14:paraId="0E880A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vAlign w:val="center"/>
          </w:tcPr>
          <w:p w14:paraId="5C2AB919">
            <w:pPr>
              <w:pStyle w:val="16"/>
              <w:rPr>
                <w:color w:val="auto"/>
              </w:rPr>
            </w:pPr>
            <w:r>
              <w:rPr>
                <w:color w:val="auto"/>
              </w:rPr>
              <w:t>YS5119213210001</w:t>
            </w:r>
          </w:p>
        </w:tc>
        <w:tc>
          <w:tcPr>
            <w:tcW w:w="954" w:type="dxa"/>
            <w:vMerge w:val="restart"/>
            <w:tcBorders>
              <w:tl2br w:val="nil"/>
              <w:tr2bl w:val="nil"/>
            </w:tcBorders>
            <w:vAlign w:val="center"/>
          </w:tcPr>
          <w:p w14:paraId="6E0BCBAC">
            <w:pPr>
              <w:pStyle w:val="16"/>
              <w:rPr>
                <w:color w:val="auto"/>
              </w:rPr>
            </w:pPr>
            <w:r>
              <w:rPr>
                <w:color w:val="auto"/>
              </w:rPr>
              <w:t>巴河-通江县-江陵-控制单元</w:t>
            </w:r>
          </w:p>
        </w:tc>
        <w:tc>
          <w:tcPr>
            <w:tcW w:w="745" w:type="dxa"/>
            <w:vMerge w:val="restart"/>
            <w:tcBorders>
              <w:tl2br w:val="nil"/>
              <w:tr2bl w:val="nil"/>
            </w:tcBorders>
            <w:vAlign w:val="center"/>
          </w:tcPr>
          <w:p w14:paraId="55916C49">
            <w:pPr>
              <w:pStyle w:val="16"/>
              <w:rPr>
                <w:color w:val="auto"/>
              </w:rPr>
            </w:pPr>
            <w:r>
              <w:rPr>
                <w:color w:val="auto"/>
              </w:rPr>
              <w:t>一般管控区</w:t>
            </w:r>
          </w:p>
        </w:tc>
        <w:tc>
          <w:tcPr>
            <w:tcW w:w="903" w:type="dxa"/>
            <w:vMerge w:val="restart"/>
            <w:tcBorders>
              <w:tl2br w:val="nil"/>
              <w:tr2bl w:val="nil"/>
            </w:tcBorders>
            <w:vAlign w:val="center"/>
          </w:tcPr>
          <w:p w14:paraId="46F40E73">
            <w:pPr>
              <w:pStyle w:val="16"/>
              <w:rPr>
                <w:color w:val="auto"/>
              </w:rPr>
            </w:pPr>
            <w:r>
              <w:rPr>
                <w:color w:val="auto"/>
              </w:rPr>
              <w:t>水</w:t>
            </w:r>
          </w:p>
        </w:tc>
        <w:tc>
          <w:tcPr>
            <w:tcW w:w="1073" w:type="dxa"/>
            <w:vMerge w:val="restart"/>
            <w:tcBorders>
              <w:tl2br w:val="nil"/>
              <w:tr2bl w:val="nil"/>
            </w:tcBorders>
            <w:vAlign w:val="center"/>
          </w:tcPr>
          <w:p w14:paraId="1BDB3B21">
            <w:pPr>
              <w:pStyle w:val="16"/>
              <w:rPr>
                <w:color w:val="auto"/>
              </w:rPr>
            </w:pPr>
            <w:r>
              <w:rPr>
                <w:color w:val="auto"/>
              </w:rPr>
              <w:t>水环境一般管控区</w:t>
            </w:r>
          </w:p>
        </w:tc>
        <w:tc>
          <w:tcPr>
            <w:tcW w:w="964" w:type="dxa"/>
            <w:vMerge w:val="restart"/>
            <w:tcBorders>
              <w:tl2br w:val="nil"/>
              <w:tr2bl w:val="nil"/>
            </w:tcBorders>
            <w:vAlign w:val="center"/>
          </w:tcPr>
          <w:p w14:paraId="4478234D">
            <w:pPr>
              <w:pStyle w:val="16"/>
              <w:rPr>
                <w:color w:val="auto"/>
              </w:rPr>
            </w:pPr>
            <w:r>
              <w:rPr>
                <w:color w:val="auto"/>
              </w:rPr>
              <w:t>巴中市通江县</w:t>
            </w:r>
          </w:p>
        </w:tc>
        <w:tc>
          <w:tcPr>
            <w:tcW w:w="1283" w:type="dxa"/>
            <w:tcBorders>
              <w:tl2br w:val="nil"/>
              <w:tr2bl w:val="nil"/>
            </w:tcBorders>
            <w:vAlign w:val="center"/>
          </w:tcPr>
          <w:p w14:paraId="4FEF114C">
            <w:pPr>
              <w:pStyle w:val="16"/>
              <w:rPr>
                <w:color w:val="auto"/>
              </w:rPr>
            </w:pPr>
            <w:r>
              <w:rPr>
                <w:color w:val="auto"/>
              </w:rPr>
              <w:t>空间布局约束</w:t>
            </w:r>
          </w:p>
        </w:tc>
        <w:tc>
          <w:tcPr>
            <w:tcW w:w="3675" w:type="dxa"/>
            <w:tcBorders>
              <w:tl2br w:val="nil"/>
              <w:tr2bl w:val="nil"/>
            </w:tcBorders>
            <w:vAlign w:val="center"/>
          </w:tcPr>
          <w:p w14:paraId="21775FA9">
            <w:pPr>
              <w:pStyle w:val="16"/>
              <w:rPr>
                <w:color w:val="auto"/>
              </w:rPr>
            </w:pPr>
            <w:r>
              <w:rPr>
                <w:color w:val="auto"/>
              </w:rPr>
              <w:t>不再新建、改扩建开采规模在50万吨年以下的磷矿，不再新建露天磷矿。</w:t>
            </w:r>
          </w:p>
        </w:tc>
        <w:tc>
          <w:tcPr>
            <w:tcW w:w="2342" w:type="dxa"/>
            <w:tcBorders>
              <w:tl2br w:val="nil"/>
              <w:tr2bl w:val="nil"/>
            </w:tcBorders>
            <w:vAlign w:val="center"/>
          </w:tcPr>
          <w:p w14:paraId="7B9DA212">
            <w:pPr>
              <w:pStyle w:val="16"/>
              <w:rPr>
                <w:color w:val="auto"/>
              </w:rPr>
            </w:pPr>
            <w:r>
              <w:rPr>
                <w:rFonts w:hint="eastAsia"/>
                <w:color w:val="auto"/>
              </w:rPr>
              <w:t>本项目不属于磷矿开采项目。</w:t>
            </w:r>
          </w:p>
        </w:tc>
        <w:tc>
          <w:tcPr>
            <w:tcW w:w="655" w:type="dxa"/>
            <w:tcBorders>
              <w:tl2br w:val="nil"/>
              <w:tr2bl w:val="nil"/>
            </w:tcBorders>
            <w:vAlign w:val="center"/>
          </w:tcPr>
          <w:p w14:paraId="695F77E9">
            <w:pPr>
              <w:pStyle w:val="16"/>
              <w:jc w:val="center"/>
              <w:rPr>
                <w:color w:val="auto"/>
              </w:rPr>
            </w:pPr>
            <w:r>
              <w:rPr>
                <w:rFonts w:hint="eastAsia"/>
                <w:color w:val="auto"/>
              </w:rPr>
              <w:t>符合</w:t>
            </w:r>
          </w:p>
        </w:tc>
      </w:tr>
      <w:tr w14:paraId="272C59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14103653">
            <w:pPr>
              <w:pStyle w:val="16"/>
              <w:rPr>
                <w:color w:val="auto"/>
              </w:rPr>
            </w:pPr>
          </w:p>
        </w:tc>
        <w:tc>
          <w:tcPr>
            <w:tcW w:w="954" w:type="dxa"/>
            <w:vMerge w:val="continue"/>
            <w:tcBorders>
              <w:tl2br w:val="nil"/>
              <w:tr2bl w:val="nil"/>
            </w:tcBorders>
            <w:vAlign w:val="center"/>
          </w:tcPr>
          <w:p w14:paraId="4D00BCD5">
            <w:pPr>
              <w:pStyle w:val="16"/>
              <w:rPr>
                <w:color w:val="auto"/>
              </w:rPr>
            </w:pPr>
          </w:p>
        </w:tc>
        <w:tc>
          <w:tcPr>
            <w:tcW w:w="745" w:type="dxa"/>
            <w:vMerge w:val="continue"/>
            <w:tcBorders>
              <w:tl2br w:val="nil"/>
              <w:tr2bl w:val="nil"/>
            </w:tcBorders>
            <w:vAlign w:val="center"/>
          </w:tcPr>
          <w:p w14:paraId="30591770">
            <w:pPr>
              <w:pStyle w:val="16"/>
              <w:rPr>
                <w:color w:val="auto"/>
              </w:rPr>
            </w:pPr>
          </w:p>
        </w:tc>
        <w:tc>
          <w:tcPr>
            <w:tcW w:w="903" w:type="dxa"/>
            <w:vMerge w:val="continue"/>
            <w:tcBorders>
              <w:tl2br w:val="nil"/>
              <w:tr2bl w:val="nil"/>
            </w:tcBorders>
            <w:vAlign w:val="center"/>
          </w:tcPr>
          <w:p w14:paraId="64E4F848">
            <w:pPr>
              <w:pStyle w:val="16"/>
              <w:rPr>
                <w:color w:val="auto"/>
              </w:rPr>
            </w:pPr>
          </w:p>
        </w:tc>
        <w:tc>
          <w:tcPr>
            <w:tcW w:w="1073" w:type="dxa"/>
            <w:vMerge w:val="continue"/>
            <w:tcBorders>
              <w:tl2br w:val="nil"/>
              <w:tr2bl w:val="nil"/>
            </w:tcBorders>
            <w:vAlign w:val="center"/>
          </w:tcPr>
          <w:p w14:paraId="3F15BEC5">
            <w:pPr>
              <w:pStyle w:val="16"/>
              <w:rPr>
                <w:color w:val="auto"/>
              </w:rPr>
            </w:pPr>
          </w:p>
        </w:tc>
        <w:tc>
          <w:tcPr>
            <w:tcW w:w="964" w:type="dxa"/>
            <w:vMerge w:val="continue"/>
            <w:tcBorders>
              <w:tl2br w:val="nil"/>
              <w:tr2bl w:val="nil"/>
            </w:tcBorders>
            <w:vAlign w:val="center"/>
          </w:tcPr>
          <w:p w14:paraId="40445286">
            <w:pPr>
              <w:pStyle w:val="16"/>
              <w:rPr>
                <w:color w:val="auto"/>
              </w:rPr>
            </w:pPr>
          </w:p>
        </w:tc>
        <w:tc>
          <w:tcPr>
            <w:tcW w:w="1283" w:type="dxa"/>
            <w:tcBorders>
              <w:tl2br w:val="nil"/>
              <w:tr2bl w:val="nil"/>
            </w:tcBorders>
            <w:vAlign w:val="center"/>
          </w:tcPr>
          <w:p w14:paraId="181EB90C">
            <w:pPr>
              <w:pStyle w:val="16"/>
              <w:rPr>
                <w:color w:val="auto"/>
              </w:rPr>
            </w:pPr>
            <w:r>
              <w:rPr>
                <w:color w:val="auto"/>
              </w:rPr>
              <w:t>污染物排放管控</w:t>
            </w:r>
          </w:p>
        </w:tc>
        <w:tc>
          <w:tcPr>
            <w:tcW w:w="3675" w:type="dxa"/>
            <w:tcBorders>
              <w:tl2br w:val="nil"/>
              <w:tr2bl w:val="nil"/>
            </w:tcBorders>
            <w:vAlign w:val="center"/>
          </w:tcPr>
          <w:p w14:paraId="6DADB715">
            <w:pPr>
              <w:pStyle w:val="16"/>
              <w:rPr>
                <w:color w:val="auto"/>
              </w:rPr>
            </w:pPr>
            <w:r>
              <w:rPr>
                <w:color w:val="auto"/>
              </w:rPr>
              <w:t>1、持续推进环保基础设施补短板，完善污水收集处理系统。2、保障乡镇污水收集处理设施顺畅运行。3、推进污水直排口排查与整治，落实“一口一策”整改措施。1、落实主要污染物排放总量指标控制要求，加强入河排污口登记、审批和监督管理。2、强化流域内工业点源、规模化畜禽养殖场运行监管，避免偷排、漏排。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2342" w:type="dxa"/>
            <w:tcBorders>
              <w:tl2br w:val="nil"/>
              <w:tr2bl w:val="nil"/>
            </w:tcBorders>
            <w:vAlign w:val="center"/>
          </w:tcPr>
          <w:p w14:paraId="3C558389">
            <w:pPr>
              <w:pStyle w:val="16"/>
              <w:rPr>
                <w:color w:val="auto"/>
              </w:rPr>
            </w:pPr>
            <w:r>
              <w:rPr>
                <w:rFonts w:hint="eastAsia"/>
                <w:color w:val="auto"/>
              </w:rPr>
              <w:t>本项目产生“三废”均得到妥善处置。</w:t>
            </w:r>
          </w:p>
        </w:tc>
        <w:tc>
          <w:tcPr>
            <w:tcW w:w="655" w:type="dxa"/>
            <w:tcBorders>
              <w:tl2br w:val="nil"/>
              <w:tr2bl w:val="nil"/>
            </w:tcBorders>
            <w:vAlign w:val="center"/>
          </w:tcPr>
          <w:p w14:paraId="37A3EF9E">
            <w:pPr>
              <w:pStyle w:val="16"/>
              <w:jc w:val="center"/>
              <w:rPr>
                <w:color w:val="auto"/>
              </w:rPr>
            </w:pPr>
            <w:r>
              <w:rPr>
                <w:rFonts w:hint="eastAsia"/>
                <w:color w:val="auto"/>
              </w:rPr>
              <w:t>符合</w:t>
            </w:r>
          </w:p>
        </w:tc>
      </w:tr>
      <w:tr w14:paraId="289881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6B80487A">
            <w:pPr>
              <w:pStyle w:val="16"/>
              <w:rPr>
                <w:color w:val="auto"/>
              </w:rPr>
            </w:pPr>
          </w:p>
        </w:tc>
        <w:tc>
          <w:tcPr>
            <w:tcW w:w="954" w:type="dxa"/>
            <w:vMerge w:val="continue"/>
            <w:tcBorders>
              <w:tl2br w:val="nil"/>
              <w:tr2bl w:val="nil"/>
            </w:tcBorders>
            <w:vAlign w:val="center"/>
          </w:tcPr>
          <w:p w14:paraId="33695E51">
            <w:pPr>
              <w:pStyle w:val="16"/>
              <w:rPr>
                <w:color w:val="auto"/>
              </w:rPr>
            </w:pPr>
          </w:p>
        </w:tc>
        <w:tc>
          <w:tcPr>
            <w:tcW w:w="745" w:type="dxa"/>
            <w:vMerge w:val="continue"/>
            <w:tcBorders>
              <w:tl2br w:val="nil"/>
              <w:tr2bl w:val="nil"/>
            </w:tcBorders>
            <w:vAlign w:val="center"/>
          </w:tcPr>
          <w:p w14:paraId="6C5415C6">
            <w:pPr>
              <w:pStyle w:val="16"/>
              <w:rPr>
                <w:color w:val="auto"/>
              </w:rPr>
            </w:pPr>
          </w:p>
        </w:tc>
        <w:tc>
          <w:tcPr>
            <w:tcW w:w="903" w:type="dxa"/>
            <w:vMerge w:val="continue"/>
            <w:tcBorders>
              <w:tl2br w:val="nil"/>
              <w:tr2bl w:val="nil"/>
            </w:tcBorders>
            <w:vAlign w:val="center"/>
          </w:tcPr>
          <w:p w14:paraId="70D450A7">
            <w:pPr>
              <w:pStyle w:val="16"/>
              <w:rPr>
                <w:color w:val="auto"/>
              </w:rPr>
            </w:pPr>
          </w:p>
        </w:tc>
        <w:tc>
          <w:tcPr>
            <w:tcW w:w="1073" w:type="dxa"/>
            <w:vMerge w:val="continue"/>
            <w:tcBorders>
              <w:tl2br w:val="nil"/>
              <w:tr2bl w:val="nil"/>
            </w:tcBorders>
            <w:vAlign w:val="center"/>
          </w:tcPr>
          <w:p w14:paraId="1C26FD19">
            <w:pPr>
              <w:pStyle w:val="16"/>
              <w:rPr>
                <w:color w:val="auto"/>
              </w:rPr>
            </w:pPr>
          </w:p>
        </w:tc>
        <w:tc>
          <w:tcPr>
            <w:tcW w:w="964" w:type="dxa"/>
            <w:vMerge w:val="continue"/>
            <w:tcBorders>
              <w:tl2br w:val="nil"/>
              <w:tr2bl w:val="nil"/>
            </w:tcBorders>
            <w:vAlign w:val="center"/>
          </w:tcPr>
          <w:p w14:paraId="1EC86740">
            <w:pPr>
              <w:pStyle w:val="16"/>
              <w:rPr>
                <w:color w:val="auto"/>
              </w:rPr>
            </w:pPr>
          </w:p>
        </w:tc>
        <w:tc>
          <w:tcPr>
            <w:tcW w:w="1283" w:type="dxa"/>
            <w:tcBorders>
              <w:tl2br w:val="nil"/>
              <w:tr2bl w:val="nil"/>
            </w:tcBorders>
            <w:vAlign w:val="center"/>
          </w:tcPr>
          <w:p w14:paraId="092DBA73">
            <w:pPr>
              <w:pStyle w:val="16"/>
              <w:rPr>
                <w:color w:val="auto"/>
              </w:rPr>
            </w:pPr>
            <w:r>
              <w:rPr>
                <w:color w:val="auto"/>
              </w:rPr>
              <w:t>环境风险防控</w:t>
            </w:r>
          </w:p>
        </w:tc>
        <w:tc>
          <w:tcPr>
            <w:tcW w:w="3675" w:type="dxa"/>
            <w:tcBorders>
              <w:tl2br w:val="nil"/>
              <w:tr2bl w:val="nil"/>
            </w:tcBorders>
            <w:vAlign w:val="center"/>
          </w:tcPr>
          <w:p w14:paraId="3A568A18">
            <w:pPr>
              <w:pStyle w:val="16"/>
              <w:rPr>
                <w:color w:val="auto"/>
              </w:rPr>
            </w:pPr>
            <w:r>
              <w:rPr>
                <w:rFonts w:hint="eastAsia"/>
                <w:color w:val="auto"/>
              </w:rPr>
              <w:t>/</w:t>
            </w:r>
          </w:p>
        </w:tc>
        <w:tc>
          <w:tcPr>
            <w:tcW w:w="2342" w:type="dxa"/>
            <w:tcBorders>
              <w:tl2br w:val="nil"/>
              <w:tr2bl w:val="nil"/>
            </w:tcBorders>
            <w:vAlign w:val="center"/>
          </w:tcPr>
          <w:p w14:paraId="24FC9D07">
            <w:pPr>
              <w:pStyle w:val="16"/>
              <w:rPr>
                <w:color w:val="auto"/>
              </w:rPr>
            </w:pPr>
            <w:r>
              <w:rPr>
                <w:rFonts w:hint="eastAsia"/>
                <w:color w:val="auto"/>
              </w:rPr>
              <w:t>/</w:t>
            </w:r>
          </w:p>
        </w:tc>
        <w:tc>
          <w:tcPr>
            <w:tcW w:w="655" w:type="dxa"/>
            <w:tcBorders>
              <w:tl2br w:val="nil"/>
              <w:tr2bl w:val="nil"/>
            </w:tcBorders>
            <w:vAlign w:val="center"/>
          </w:tcPr>
          <w:p w14:paraId="0A20D503">
            <w:pPr>
              <w:pStyle w:val="16"/>
              <w:jc w:val="center"/>
              <w:rPr>
                <w:color w:val="auto"/>
              </w:rPr>
            </w:pPr>
            <w:r>
              <w:rPr>
                <w:rFonts w:hint="eastAsia"/>
                <w:color w:val="auto"/>
              </w:rPr>
              <w:t>/</w:t>
            </w:r>
          </w:p>
        </w:tc>
      </w:tr>
      <w:tr w14:paraId="09B66B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7DB8414D">
            <w:pPr>
              <w:pStyle w:val="16"/>
              <w:rPr>
                <w:color w:val="auto"/>
              </w:rPr>
            </w:pPr>
          </w:p>
        </w:tc>
        <w:tc>
          <w:tcPr>
            <w:tcW w:w="954" w:type="dxa"/>
            <w:vMerge w:val="continue"/>
            <w:tcBorders>
              <w:tl2br w:val="nil"/>
              <w:tr2bl w:val="nil"/>
            </w:tcBorders>
            <w:vAlign w:val="center"/>
          </w:tcPr>
          <w:p w14:paraId="20AE3125">
            <w:pPr>
              <w:pStyle w:val="16"/>
              <w:rPr>
                <w:color w:val="auto"/>
              </w:rPr>
            </w:pPr>
          </w:p>
        </w:tc>
        <w:tc>
          <w:tcPr>
            <w:tcW w:w="745" w:type="dxa"/>
            <w:vMerge w:val="continue"/>
            <w:tcBorders>
              <w:tl2br w:val="nil"/>
              <w:tr2bl w:val="nil"/>
            </w:tcBorders>
            <w:vAlign w:val="center"/>
          </w:tcPr>
          <w:p w14:paraId="55A009D1">
            <w:pPr>
              <w:pStyle w:val="16"/>
              <w:rPr>
                <w:color w:val="auto"/>
              </w:rPr>
            </w:pPr>
          </w:p>
        </w:tc>
        <w:tc>
          <w:tcPr>
            <w:tcW w:w="903" w:type="dxa"/>
            <w:vMerge w:val="continue"/>
            <w:tcBorders>
              <w:tl2br w:val="nil"/>
              <w:tr2bl w:val="nil"/>
            </w:tcBorders>
            <w:vAlign w:val="center"/>
          </w:tcPr>
          <w:p w14:paraId="77A58BA9">
            <w:pPr>
              <w:pStyle w:val="16"/>
              <w:rPr>
                <w:color w:val="auto"/>
              </w:rPr>
            </w:pPr>
          </w:p>
        </w:tc>
        <w:tc>
          <w:tcPr>
            <w:tcW w:w="1073" w:type="dxa"/>
            <w:vMerge w:val="continue"/>
            <w:tcBorders>
              <w:tl2br w:val="nil"/>
              <w:tr2bl w:val="nil"/>
            </w:tcBorders>
            <w:vAlign w:val="center"/>
          </w:tcPr>
          <w:p w14:paraId="24EBD273">
            <w:pPr>
              <w:pStyle w:val="16"/>
              <w:rPr>
                <w:color w:val="auto"/>
              </w:rPr>
            </w:pPr>
          </w:p>
        </w:tc>
        <w:tc>
          <w:tcPr>
            <w:tcW w:w="964" w:type="dxa"/>
            <w:vMerge w:val="continue"/>
            <w:tcBorders>
              <w:tl2br w:val="nil"/>
              <w:tr2bl w:val="nil"/>
            </w:tcBorders>
            <w:vAlign w:val="center"/>
          </w:tcPr>
          <w:p w14:paraId="05F54997">
            <w:pPr>
              <w:pStyle w:val="16"/>
              <w:rPr>
                <w:color w:val="auto"/>
              </w:rPr>
            </w:pPr>
          </w:p>
        </w:tc>
        <w:tc>
          <w:tcPr>
            <w:tcW w:w="1283" w:type="dxa"/>
            <w:tcBorders>
              <w:tl2br w:val="nil"/>
              <w:tr2bl w:val="nil"/>
            </w:tcBorders>
            <w:vAlign w:val="center"/>
          </w:tcPr>
          <w:p w14:paraId="2E14E818">
            <w:pPr>
              <w:pStyle w:val="16"/>
              <w:rPr>
                <w:color w:val="auto"/>
              </w:rPr>
            </w:pPr>
            <w:r>
              <w:rPr>
                <w:color w:val="auto"/>
              </w:rPr>
              <w:t>资源开发利用效率要求</w:t>
            </w:r>
          </w:p>
        </w:tc>
        <w:tc>
          <w:tcPr>
            <w:tcW w:w="3675" w:type="dxa"/>
            <w:tcBorders>
              <w:tl2br w:val="nil"/>
              <w:tr2bl w:val="nil"/>
            </w:tcBorders>
            <w:vAlign w:val="center"/>
          </w:tcPr>
          <w:p w14:paraId="7318AA12">
            <w:pPr>
              <w:pStyle w:val="16"/>
              <w:rPr>
                <w:color w:val="auto"/>
              </w:rPr>
            </w:pPr>
            <w:r>
              <w:rPr>
                <w:rFonts w:hint="eastAsia"/>
                <w:color w:val="auto"/>
              </w:rPr>
              <w:t>/</w:t>
            </w:r>
          </w:p>
        </w:tc>
        <w:tc>
          <w:tcPr>
            <w:tcW w:w="2342" w:type="dxa"/>
            <w:tcBorders>
              <w:tl2br w:val="nil"/>
              <w:tr2bl w:val="nil"/>
            </w:tcBorders>
            <w:vAlign w:val="center"/>
          </w:tcPr>
          <w:p w14:paraId="14416E13">
            <w:pPr>
              <w:pStyle w:val="16"/>
              <w:rPr>
                <w:color w:val="auto"/>
              </w:rPr>
            </w:pPr>
            <w:r>
              <w:rPr>
                <w:rFonts w:hint="eastAsia"/>
                <w:color w:val="auto"/>
              </w:rPr>
              <w:t>/</w:t>
            </w:r>
          </w:p>
        </w:tc>
        <w:tc>
          <w:tcPr>
            <w:tcW w:w="655" w:type="dxa"/>
            <w:tcBorders>
              <w:tl2br w:val="nil"/>
              <w:tr2bl w:val="nil"/>
            </w:tcBorders>
            <w:vAlign w:val="center"/>
          </w:tcPr>
          <w:p w14:paraId="2D289A5B">
            <w:pPr>
              <w:pStyle w:val="16"/>
              <w:jc w:val="center"/>
              <w:rPr>
                <w:color w:val="auto"/>
              </w:rPr>
            </w:pPr>
            <w:r>
              <w:rPr>
                <w:rFonts w:hint="eastAsia"/>
                <w:color w:val="auto"/>
              </w:rPr>
              <w:t>/</w:t>
            </w:r>
          </w:p>
        </w:tc>
      </w:tr>
      <w:tr w14:paraId="422EAE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restart"/>
            <w:tcBorders>
              <w:tl2br w:val="nil"/>
              <w:tr2bl w:val="nil"/>
            </w:tcBorders>
            <w:vAlign w:val="center"/>
          </w:tcPr>
          <w:p w14:paraId="3647E50C">
            <w:pPr>
              <w:pStyle w:val="16"/>
              <w:rPr>
                <w:color w:val="auto"/>
              </w:rPr>
            </w:pPr>
            <w:r>
              <w:rPr>
                <w:color w:val="auto"/>
              </w:rPr>
              <w:t>YS5119213110001</w:t>
            </w:r>
          </w:p>
        </w:tc>
        <w:tc>
          <w:tcPr>
            <w:tcW w:w="954" w:type="dxa"/>
            <w:vMerge w:val="restart"/>
            <w:tcBorders>
              <w:tl2br w:val="nil"/>
              <w:tr2bl w:val="nil"/>
            </w:tcBorders>
            <w:vAlign w:val="center"/>
          </w:tcPr>
          <w:p w14:paraId="7F2AD060">
            <w:pPr>
              <w:pStyle w:val="16"/>
              <w:rPr>
                <w:color w:val="auto"/>
              </w:rPr>
            </w:pPr>
            <w:r>
              <w:rPr>
                <w:color w:val="auto"/>
              </w:rPr>
              <w:t>通江县其他区域</w:t>
            </w:r>
          </w:p>
        </w:tc>
        <w:tc>
          <w:tcPr>
            <w:tcW w:w="745" w:type="dxa"/>
            <w:vMerge w:val="restart"/>
            <w:tcBorders>
              <w:tl2br w:val="nil"/>
              <w:tr2bl w:val="nil"/>
            </w:tcBorders>
            <w:vAlign w:val="center"/>
          </w:tcPr>
          <w:p w14:paraId="2888FCF8">
            <w:pPr>
              <w:pStyle w:val="16"/>
              <w:rPr>
                <w:color w:val="auto"/>
              </w:rPr>
            </w:pPr>
            <w:r>
              <w:rPr>
                <w:color w:val="auto"/>
              </w:rPr>
              <w:t>一般管控区</w:t>
            </w:r>
          </w:p>
        </w:tc>
        <w:tc>
          <w:tcPr>
            <w:tcW w:w="903" w:type="dxa"/>
            <w:vMerge w:val="restart"/>
            <w:tcBorders>
              <w:tl2br w:val="nil"/>
              <w:tr2bl w:val="nil"/>
            </w:tcBorders>
            <w:vAlign w:val="center"/>
          </w:tcPr>
          <w:p w14:paraId="2A5D86F1">
            <w:pPr>
              <w:pStyle w:val="16"/>
              <w:rPr>
                <w:color w:val="auto"/>
              </w:rPr>
            </w:pPr>
            <w:r>
              <w:rPr>
                <w:color w:val="auto"/>
              </w:rPr>
              <w:t>生态</w:t>
            </w:r>
          </w:p>
        </w:tc>
        <w:tc>
          <w:tcPr>
            <w:tcW w:w="1073" w:type="dxa"/>
            <w:vMerge w:val="restart"/>
            <w:tcBorders>
              <w:tl2br w:val="nil"/>
              <w:tr2bl w:val="nil"/>
            </w:tcBorders>
            <w:vAlign w:val="center"/>
          </w:tcPr>
          <w:p w14:paraId="610EA503">
            <w:pPr>
              <w:pStyle w:val="16"/>
              <w:rPr>
                <w:color w:val="auto"/>
              </w:rPr>
            </w:pPr>
            <w:r>
              <w:rPr>
                <w:color w:val="auto"/>
              </w:rPr>
              <w:t>一般管控区</w:t>
            </w:r>
          </w:p>
        </w:tc>
        <w:tc>
          <w:tcPr>
            <w:tcW w:w="964" w:type="dxa"/>
            <w:vMerge w:val="restart"/>
            <w:tcBorders>
              <w:tl2br w:val="nil"/>
              <w:tr2bl w:val="nil"/>
            </w:tcBorders>
            <w:vAlign w:val="center"/>
          </w:tcPr>
          <w:p w14:paraId="09DD5FA6">
            <w:pPr>
              <w:pStyle w:val="16"/>
              <w:rPr>
                <w:color w:val="auto"/>
              </w:rPr>
            </w:pPr>
            <w:r>
              <w:rPr>
                <w:color w:val="auto"/>
              </w:rPr>
              <w:t>巴中市通江县</w:t>
            </w:r>
          </w:p>
        </w:tc>
        <w:tc>
          <w:tcPr>
            <w:tcW w:w="1283" w:type="dxa"/>
            <w:tcBorders>
              <w:tl2br w:val="nil"/>
              <w:tr2bl w:val="nil"/>
            </w:tcBorders>
            <w:vAlign w:val="center"/>
          </w:tcPr>
          <w:p w14:paraId="0CAB2AF1">
            <w:pPr>
              <w:pStyle w:val="16"/>
              <w:rPr>
                <w:color w:val="auto"/>
              </w:rPr>
            </w:pPr>
            <w:r>
              <w:rPr>
                <w:color w:val="auto"/>
              </w:rPr>
              <w:t>空间布局约束</w:t>
            </w:r>
          </w:p>
        </w:tc>
        <w:tc>
          <w:tcPr>
            <w:tcW w:w="3675" w:type="dxa"/>
            <w:tcBorders>
              <w:tl2br w:val="nil"/>
              <w:tr2bl w:val="nil"/>
            </w:tcBorders>
            <w:vAlign w:val="center"/>
          </w:tcPr>
          <w:p w14:paraId="1D9B058B">
            <w:pPr>
              <w:pStyle w:val="16"/>
              <w:rPr>
                <w:color w:val="auto"/>
              </w:rPr>
            </w:pPr>
            <w:r>
              <w:rPr>
                <w:rFonts w:hint="eastAsia"/>
                <w:color w:val="auto"/>
              </w:rPr>
              <w:t>/</w:t>
            </w:r>
          </w:p>
        </w:tc>
        <w:tc>
          <w:tcPr>
            <w:tcW w:w="2342" w:type="dxa"/>
            <w:tcBorders>
              <w:tl2br w:val="nil"/>
              <w:tr2bl w:val="nil"/>
            </w:tcBorders>
            <w:vAlign w:val="center"/>
          </w:tcPr>
          <w:p w14:paraId="5F305C7E">
            <w:pPr>
              <w:pStyle w:val="16"/>
              <w:rPr>
                <w:color w:val="auto"/>
              </w:rPr>
            </w:pPr>
            <w:r>
              <w:rPr>
                <w:rFonts w:hint="eastAsia"/>
                <w:color w:val="auto"/>
              </w:rPr>
              <w:t>/</w:t>
            </w:r>
          </w:p>
        </w:tc>
        <w:tc>
          <w:tcPr>
            <w:tcW w:w="655" w:type="dxa"/>
            <w:tcBorders>
              <w:tl2br w:val="nil"/>
              <w:tr2bl w:val="nil"/>
            </w:tcBorders>
            <w:vAlign w:val="center"/>
          </w:tcPr>
          <w:p w14:paraId="5D59340D">
            <w:pPr>
              <w:pStyle w:val="16"/>
              <w:jc w:val="center"/>
              <w:rPr>
                <w:color w:val="auto"/>
              </w:rPr>
            </w:pPr>
            <w:r>
              <w:rPr>
                <w:rFonts w:hint="eastAsia"/>
                <w:color w:val="auto"/>
              </w:rPr>
              <w:t>/</w:t>
            </w:r>
          </w:p>
        </w:tc>
      </w:tr>
      <w:tr w14:paraId="10221F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13DF39FF">
            <w:pPr>
              <w:pStyle w:val="16"/>
              <w:rPr>
                <w:color w:val="auto"/>
              </w:rPr>
            </w:pPr>
          </w:p>
        </w:tc>
        <w:tc>
          <w:tcPr>
            <w:tcW w:w="954" w:type="dxa"/>
            <w:vMerge w:val="continue"/>
            <w:tcBorders>
              <w:tl2br w:val="nil"/>
              <w:tr2bl w:val="nil"/>
            </w:tcBorders>
            <w:vAlign w:val="center"/>
          </w:tcPr>
          <w:p w14:paraId="75C0AB53">
            <w:pPr>
              <w:pStyle w:val="16"/>
              <w:rPr>
                <w:color w:val="auto"/>
              </w:rPr>
            </w:pPr>
          </w:p>
        </w:tc>
        <w:tc>
          <w:tcPr>
            <w:tcW w:w="745" w:type="dxa"/>
            <w:vMerge w:val="continue"/>
            <w:tcBorders>
              <w:tl2br w:val="nil"/>
              <w:tr2bl w:val="nil"/>
            </w:tcBorders>
            <w:vAlign w:val="center"/>
          </w:tcPr>
          <w:p w14:paraId="7B797820">
            <w:pPr>
              <w:pStyle w:val="16"/>
              <w:rPr>
                <w:color w:val="auto"/>
              </w:rPr>
            </w:pPr>
          </w:p>
        </w:tc>
        <w:tc>
          <w:tcPr>
            <w:tcW w:w="903" w:type="dxa"/>
            <w:vMerge w:val="continue"/>
            <w:tcBorders>
              <w:tl2br w:val="nil"/>
              <w:tr2bl w:val="nil"/>
            </w:tcBorders>
            <w:vAlign w:val="center"/>
          </w:tcPr>
          <w:p w14:paraId="7E024FE5">
            <w:pPr>
              <w:pStyle w:val="16"/>
              <w:rPr>
                <w:color w:val="auto"/>
              </w:rPr>
            </w:pPr>
          </w:p>
        </w:tc>
        <w:tc>
          <w:tcPr>
            <w:tcW w:w="1073" w:type="dxa"/>
            <w:vMerge w:val="continue"/>
            <w:tcBorders>
              <w:tl2br w:val="nil"/>
              <w:tr2bl w:val="nil"/>
            </w:tcBorders>
            <w:vAlign w:val="center"/>
          </w:tcPr>
          <w:p w14:paraId="39BFF02A">
            <w:pPr>
              <w:pStyle w:val="16"/>
              <w:rPr>
                <w:color w:val="auto"/>
              </w:rPr>
            </w:pPr>
          </w:p>
        </w:tc>
        <w:tc>
          <w:tcPr>
            <w:tcW w:w="964" w:type="dxa"/>
            <w:vMerge w:val="continue"/>
            <w:tcBorders>
              <w:tl2br w:val="nil"/>
              <w:tr2bl w:val="nil"/>
            </w:tcBorders>
            <w:vAlign w:val="center"/>
          </w:tcPr>
          <w:p w14:paraId="136D4B5C">
            <w:pPr>
              <w:pStyle w:val="16"/>
              <w:rPr>
                <w:color w:val="auto"/>
              </w:rPr>
            </w:pPr>
          </w:p>
        </w:tc>
        <w:tc>
          <w:tcPr>
            <w:tcW w:w="1283" w:type="dxa"/>
            <w:tcBorders>
              <w:tl2br w:val="nil"/>
              <w:tr2bl w:val="nil"/>
            </w:tcBorders>
            <w:vAlign w:val="center"/>
          </w:tcPr>
          <w:p w14:paraId="62F0C290">
            <w:pPr>
              <w:pStyle w:val="16"/>
              <w:rPr>
                <w:color w:val="auto"/>
              </w:rPr>
            </w:pPr>
            <w:r>
              <w:rPr>
                <w:color w:val="auto"/>
              </w:rPr>
              <w:t>污染物排放管控</w:t>
            </w:r>
          </w:p>
        </w:tc>
        <w:tc>
          <w:tcPr>
            <w:tcW w:w="3675" w:type="dxa"/>
            <w:tcBorders>
              <w:tl2br w:val="nil"/>
              <w:tr2bl w:val="nil"/>
            </w:tcBorders>
            <w:vAlign w:val="center"/>
          </w:tcPr>
          <w:p w14:paraId="49650CB7">
            <w:pPr>
              <w:pStyle w:val="16"/>
              <w:rPr>
                <w:color w:val="auto"/>
              </w:rPr>
            </w:pPr>
            <w:r>
              <w:rPr>
                <w:rFonts w:hint="eastAsia"/>
                <w:color w:val="auto"/>
              </w:rPr>
              <w:t>/</w:t>
            </w:r>
          </w:p>
        </w:tc>
        <w:tc>
          <w:tcPr>
            <w:tcW w:w="2342" w:type="dxa"/>
            <w:tcBorders>
              <w:tl2br w:val="nil"/>
              <w:tr2bl w:val="nil"/>
            </w:tcBorders>
            <w:vAlign w:val="center"/>
          </w:tcPr>
          <w:p w14:paraId="44A5B2BB">
            <w:pPr>
              <w:pStyle w:val="16"/>
              <w:rPr>
                <w:color w:val="auto"/>
              </w:rPr>
            </w:pPr>
            <w:r>
              <w:rPr>
                <w:rFonts w:hint="eastAsia"/>
                <w:color w:val="auto"/>
              </w:rPr>
              <w:t>/</w:t>
            </w:r>
          </w:p>
        </w:tc>
        <w:tc>
          <w:tcPr>
            <w:tcW w:w="655" w:type="dxa"/>
            <w:tcBorders>
              <w:tl2br w:val="nil"/>
              <w:tr2bl w:val="nil"/>
            </w:tcBorders>
            <w:vAlign w:val="center"/>
          </w:tcPr>
          <w:p w14:paraId="23C67924">
            <w:pPr>
              <w:pStyle w:val="16"/>
              <w:jc w:val="center"/>
              <w:rPr>
                <w:color w:val="auto"/>
              </w:rPr>
            </w:pPr>
            <w:r>
              <w:rPr>
                <w:rFonts w:hint="eastAsia"/>
                <w:color w:val="auto"/>
              </w:rPr>
              <w:t>/</w:t>
            </w:r>
          </w:p>
        </w:tc>
      </w:tr>
      <w:tr w14:paraId="7CD13D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0818139C">
            <w:pPr>
              <w:pStyle w:val="16"/>
              <w:rPr>
                <w:color w:val="auto"/>
              </w:rPr>
            </w:pPr>
          </w:p>
        </w:tc>
        <w:tc>
          <w:tcPr>
            <w:tcW w:w="954" w:type="dxa"/>
            <w:vMerge w:val="continue"/>
            <w:tcBorders>
              <w:tl2br w:val="nil"/>
              <w:tr2bl w:val="nil"/>
            </w:tcBorders>
            <w:vAlign w:val="center"/>
          </w:tcPr>
          <w:p w14:paraId="1EB50F75">
            <w:pPr>
              <w:pStyle w:val="16"/>
              <w:rPr>
                <w:color w:val="auto"/>
              </w:rPr>
            </w:pPr>
          </w:p>
        </w:tc>
        <w:tc>
          <w:tcPr>
            <w:tcW w:w="745" w:type="dxa"/>
            <w:vMerge w:val="continue"/>
            <w:tcBorders>
              <w:tl2br w:val="nil"/>
              <w:tr2bl w:val="nil"/>
            </w:tcBorders>
            <w:vAlign w:val="center"/>
          </w:tcPr>
          <w:p w14:paraId="231EAF6E">
            <w:pPr>
              <w:pStyle w:val="16"/>
              <w:rPr>
                <w:color w:val="auto"/>
              </w:rPr>
            </w:pPr>
          </w:p>
        </w:tc>
        <w:tc>
          <w:tcPr>
            <w:tcW w:w="903" w:type="dxa"/>
            <w:vMerge w:val="continue"/>
            <w:tcBorders>
              <w:tl2br w:val="nil"/>
              <w:tr2bl w:val="nil"/>
            </w:tcBorders>
            <w:vAlign w:val="center"/>
          </w:tcPr>
          <w:p w14:paraId="6B3CE414">
            <w:pPr>
              <w:pStyle w:val="16"/>
              <w:rPr>
                <w:color w:val="auto"/>
              </w:rPr>
            </w:pPr>
          </w:p>
        </w:tc>
        <w:tc>
          <w:tcPr>
            <w:tcW w:w="1073" w:type="dxa"/>
            <w:vMerge w:val="continue"/>
            <w:tcBorders>
              <w:tl2br w:val="nil"/>
              <w:tr2bl w:val="nil"/>
            </w:tcBorders>
            <w:vAlign w:val="center"/>
          </w:tcPr>
          <w:p w14:paraId="1A06BA4B">
            <w:pPr>
              <w:pStyle w:val="16"/>
              <w:rPr>
                <w:color w:val="auto"/>
              </w:rPr>
            </w:pPr>
          </w:p>
        </w:tc>
        <w:tc>
          <w:tcPr>
            <w:tcW w:w="964" w:type="dxa"/>
            <w:vMerge w:val="continue"/>
            <w:tcBorders>
              <w:tl2br w:val="nil"/>
              <w:tr2bl w:val="nil"/>
            </w:tcBorders>
            <w:vAlign w:val="center"/>
          </w:tcPr>
          <w:p w14:paraId="0F259FCC">
            <w:pPr>
              <w:pStyle w:val="16"/>
              <w:rPr>
                <w:color w:val="auto"/>
              </w:rPr>
            </w:pPr>
          </w:p>
        </w:tc>
        <w:tc>
          <w:tcPr>
            <w:tcW w:w="1283" w:type="dxa"/>
            <w:tcBorders>
              <w:tl2br w:val="nil"/>
              <w:tr2bl w:val="nil"/>
            </w:tcBorders>
            <w:vAlign w:val="center"/>
          </w:tcPr>
          <w:p w14:paraId="317012B4">
            <w:pPr>
              <w:pStyle w:val="16"/>
              <w:rPr>
                <w:color w:val="auto"/>
              </w:rPr>
            </w:pPr>
            <w:r>
              <w:rPr>
                <w:color w:val="auto"/>
              </w:rPr>
              <w:t>环境风险防控</w:t>
            </w:r>
          </w:p>
        </w:tc>
        <w:tc>
          <w:tcPr>
            <w:tcW w:w="3675" w:type="dxa"/>
            <w:tcBorders>
              <w:tl2br w:val="nil"/>
              <w:tr2bl w:val="nil"/>
            </w:tcBorders>
            <w:vAlign w:val="center"/>
          </w:tcPr>
          <w:p w14:paraId="338A42B5">
            <w:pPr>
              <w:pStyle w:val="16"/>
              <w:rPr>
                <w:color w:val="auto"/>
              </w:rPr>
            </w:pPr>
            <w:r>
              <w:rPr>
                <w:rFonts w:hint="eastAsia"/>
                <w:color w:val="auto"/>
              </w:rPr>
              <w:t>/</w:t>
            </w:r>
          </w:p>
        </w:tc>
        <w:tc>
          <w:tcPr>
            <w:tcW w:w="2342" w:type="dxa"/>
            <w:tcBorders>
              <w:tl2br w:val="nil"/>
              <w:tr2bl w:val="nil"/>
            </w:tcBorders>
            <w:vAlign w:val="center"/>
          </w:tcPr>
          <w:p w14:paraId="5A2DDFE3">
            <w:pPr>
              <w:pStyle w:val="16"/>
              <w:rPr>
                <w:color w:val="auto"/>
              </w:rPr>
            </w:pPr>
            <w:r>
              <w:rPr>
                <w:rFonts w:hint="eastAsia"/>
                <w:color w:val="auto"/>
              </w:rPr>
              <w:t>/</w:t>
            </w:r>
          </w:p>
        </w:tc>
        <w:tc>
          <w:tcPr>
            <w:tcW w:w="655" w:type="dxa"/>
            <w:tcBorders>
              <w:tl2br w:val="nil"/>
              <w:tr2bl w:val="nil"/>
            </w:tcBorders>
            <w:vAlign w:val="center"/>
          </w:tcPr>
          <w:p w14:paraId="2CF2E1E8">
            <w:pPr>
              <w:pStyle w:val="16"/>
              <w:jc w:val="center"/>
              <w:rPr>
                <w:color w:val="auto"/>
              </w:rPr>
            </w:pPr>
            <w:r>
              <w:rPr>
                <w:rFonts w:hint="eastAsia"/>
                <w:color w:val="auto"/>
              </w:rPr>
              <w:t>/</w:t>
            </w:r>
          </w:p>
        </w:tc>
      </w:tr>
      <w:tr w14:paraId="20D3C1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283" w:hRule="atLeast"/>
        </w:trPr>
        <w:tc>
          <w:tcPr>
            <w:tcW w:w="1062" w:type="dxa"/>
            <w:vMerge w:val="continue"/>
            <w:tcBorders>
              <w:tl2br w:val="nil"/>
              <w:tr2bl w:val="nil"/>
            </w:tcBorders>
            <w:vAlign w:val="center"/>
          </w:tcPr>
          <w:p w14:paraId="0243583F">
            <w:pPr>
              <w:pStyle w:val="16"/>
              <w:rPr>
                <w:color w:val="auto"/>
              </w:rPr>
            </w:pPr>
          </w:p>
        </w:tc>
        <w:tc>
          <w:tcPr>
            <w:tcW w:w="954" w:type="dxa"/>
            <w:vMerge w:val="continue"/>
            <w:tcBorders>
              <w:tl2br w:val="nil"/>
              <w:tr2bl w:val="nil"/>
            </w:tcBorders>
            <w:vAlign w:val="center"/>
          </w:tcPr>
          <w:p w14:paraId="6C9D13D1">
            <w:pPr>
              <w:pStyle w:val="16"/>
              <w:rPr>
                <w:color w:val="auto"/>
              </w:rPr>
            </w:pPr>
          </w:p>
        </w:tc>
        <w:tc>
          <w:tcPr>
            <w:tcW w:w="745" w:type="dxa"/>
            <w:vMerge w:val="continue"/>
            <w:tcBorders>
              <w:tl2br w:val="nil"/>
              <w:tr2bl w:val="nil"/>
            </w:tcBorders>
            <w:vAlign w:val="center"/>
          </w:tcPr>
          <w:p w14:paraId="610E3C33">
            <w:pPr>
              <w:pStyle w:val="16"/>
              <w:rPr>
                <w:color w:val="auto"/>
              </w:rPr>
            </w:pPr>
          </w:p>
        </w:tc>
        <w:tc>
          <w:tcPr>
            <w:tcW w:w="903" w:type="dxa"/>
            <w:vMerge w:val="continue"/>
            <w:tcBorders>
              <w:tl2br w:val="nil"/>
              <w:tr2bl w:val="nil"/>
            </w:tcBorders>
            <w:vAlign w:val="center"/>
          </w:tcPr>
          <w:p w14:paraId="7A286A6F">
            <w:pPr>
              <w:pStyle w:val="16"/>
              <w:rPr>
                <w:color w:val="auto"/>
              </w:rPr>
            </w:pPr>
          </w:p>
        </w:tc>
        <w:tc>
          <w:tcPr>
            <w:tcW w:w="1073" w:type="dxa"/>
            <w:vMerge w:val="continue"/>
            <w:tcBorders>
              <w:tl2br w:val="nil"/>
              <w:tr2bl w:val="nil"/>
            </w:tcBorders>
            <w:vAlign w:val="center"/>
          </w:tcPr>
          <w:p w14:paraId="7B881277">
            <w:pPr>
              <w:pStyle w:val="16"/>
              <w:rPr>
                <w:color w:val="auto"/>
              </w:rPr>
            </w:pPr>
          </w:p>
        </w:tc>
        <w:tc>
          <w:tcPr>
            <w:tcW w:w="964" w:type="dxa"/>
            <w:vMerge w:val="continue"/>
            <w:tcBorders>
              <w:tl2br w:val="nil"/>
              <w:tr2bl w:val="nil"/>
            </w:tcBorders>
            <w:vAlign w:val="center"/>
          </w:tcPr>
          <w:p w14:paraId="2E396009">
            <w:pPr>
              <w:pStyle w:val="16"/>
              <w:rPr>
                <w:color w:val="auto"/>
              </w:rPr>
            </w:pPr>
          </w:p>
        </w:tc>
        <w:tc>
          <w:tcPr>
            <w:tcW w:w="1283" w:type="dxa"/>
            <w:tcBorders>
              <w:tl2br w:val="nil"/>
              <w:tr2bl w:val="nil"/>
            </w:tcBorders>
            <w:vAlign w:val="center"/>
          </w:tcPr>
          <w:p w14:paraId="6A25F609">
            <w:pPr>
              <w:pStyle w:val="16"/>
              <w:rPr>
                <w:color w:val="auto"/>
              </w:rPr>
            </w:pPr>
            <w:r>
              <w:rPr>
                <w:color w:val="auto"/>
              </w:rPr>
              <w:t>资源开发利用效率要求</w:t>
            </w:r>
          </w:p>
        </w:tc>
        <w:tc>
          <w:tcPr>
            <w:tcW w:w="3675" w:type="dxa"/>
            <w:tcBorders>
              <w:tl2br w:val="nil"/>
              <w:tr2bl w:val="nil"/>
            </w:tcBorders>
            <w:vAlign w:val="center"/>
          </w:tcPr>
          <w:p w14:paraId="4D5C9D06">
            <w:pPr>
              <w:pStyle w:val="16"/>
              <w:rPr>
                <w:color w:val="auto"/>
              </w:rPr>
            </w:pPr>
            <w:r>
              <w:rPr>
                <w:rFonts w:hint="eastAsia"/>
                <w:color w:val="auto"/>
              </w:rPr>
              <w:t>/</w:t>
            </w:r>
          </w:p>
        </w:tc>
        <w:tc>
          <w:tcPr>
            <w:tcW w:w="2342" w:type="dxa"/>
            <w:tcBorders>
              <w:tl2br w:val="nil"/>
              <w:tr2bl w:val="nil"/>
            </w:tcBorders>
            <w:vAlign w:val="center"/>
          </w:tcPr>
          <w:p w14:paraId="7500BC47">
            <w:pPr>
              <w:pStyle w:val="16"/>
              <w:rPr>
                <w:color w:val="auto"/>
              </w:rPr>
            </w:pPr>
            <w:r>
              <w:rPr>
                <w:rFonts w:hint="eastAsia"/>
                <w:color w:val="auto"/>
              </w:rPr>
              <w:t>/</w:t>
            </w:r>
          </w:p>
        </w:tc>
        <w:tc>
          <w:tcPr>
            <w:tcW w:w="655" w:type="dxa"/>
            <w:tcBorders>
              <w:tl2br w:val="nil"/>
              <w:tr2bl w:val="nil"/>
            </w:tcBorders>
            <w:vAlign w:val="center"/>
          </w:tcPr>
          <w:p w14:paraId="3843EC79">
            <w:pPr>
              <w:pStyle w:val="16"/>
              <w:jc w:val="center"/>
              <w:rPr>
                <w:color w:val="auto"/>
              </w:rPr>
            </w:pPr>
            <w:r>
              <w:rPr>
                <w:rFonts w:hint="eastAsia"/>
                <w:color w:val="auto"/>
              </w:rPr>
              <w:t>/</w:t>
            </w:r>
          </w:p>
        </w:tc>
      </w:tr>
    </w:tbl>
    <w:p w14:paraId="76AECE39">
      <w:pPr>
        <w:autoSpaceDE/>
        <w:autoSpaceDN/>
        <w:ind w:firstLine="480"/>
        <w:rPr>
          <w:color w:val="auto"/>
        </w:rPr>
      </w:pPr>
      <w:r>
        <w:rPr>
          <w:color w:val="auto"/>
        </w:rPr>
        <w:t>综上所述，经过与四川省生态环境分区管控查询报告书对照分析，本项目</w:t>
      </w:r>
      <w:r>
        <w:rPr>
          <w:rFonts w:hint="eastAsia"/>
          <w:color w:val="auto"/>
        </w:rPr>
        <w:t>与巴中市</w:t>
      </w:r>
      <w:r>
        <w:rPr>
          <w:color w:val="auto"/>
        </w:rPr>
        <w:t>生态环境准入和管控要求相符</w:t>
      </w:r>
      <w:r>
        <w:rPr>
          <w:rFonts w:hint="eastAsia"/>
          <w:color w:val="auto"/>
        </w:rPr>
        <w:t>。</w:t>
      </w:r>
    </w:p>
    <w:p w14:paraId="2B2A6A0D">
      <w:pPr>
        <w:autoSpaceDE/>
        <w:autoSpaceDN/>
        <w:ind w:firstLine="480"/>
        <w:rPr>
          <w:color w:val="auto"/>
        </w:rPr>
      </w:pPr>
    </w:p>
    <w:p w14:paraId="15334C9E">
      <w:pPr>
        <w:autoSpaceDE/>
        <w:autoSpaceDN/>
        <w:ind w:firstLine="480"/>
        <w:rPr>
          <w:color w:val="auto"/>
        </w:rPr>
        <w:sectPr>
          <w:pgSz w:w="16838" w:h="11906" w:orient="landscape"/>
          <w:pgMar w:top="1531" w:right="1701" w:bottom="1531" w:left="1701" w:header="851" w:footer="1077" w:gutter="0"/>
          <w:cols w:space="720" w:num="1"/>
          <w:docGrid w:linePitch="312" w:charSpace="0"/>
        </w:sect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7797"/>
      </w:tblGrid>
      <w:tr w14:paraId="5E30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6C0EFF58">
            <w:pPr>
              <w:pStyle w:val="16"/>
              <w:jc w:val="center"/>
              <w:rPr>
                <w:color w:val="auto"/>
              </w:rPr>
            </w:pPr>
            <w:r>
              <w:rPr>
                <w:rFonts w:hint="eastAsia"/>
                <w:color w:val="auto"/>
              </w:rPr>
              <w:t>其他符合性分析</w:t>
            </w:r>
          </w:p>
        </w:tc>
        <w:tc>
          <w:tcPr>
            <w:tcW w:w="7797" w:type="dxa"/>
          </w:tcPr>
          <w:p w14:paraId="2D945E7A">
            <w:pPr>
              <w:ind w:firstLine="482"/>
              <w:rPr>
                <w:b/>
                <w:bCs/>
                <w:color w:val="auto"/>
              </w:rPr>
            </w:pPr>
            <w:r>
              <w:rPr>
                <w:rFonts w:hint="eastAsia"/>
                <w:b/>
                <w:bCs/>
                <w:color w:val="auto"/>
              </w:rPr>
              <w:t>9</w:t>
            </w:r>
            <w:r>
              <w:rPr>
                <w:b/>
                <w:bCs/>
                <w:color w:val="auto"/>
              </w:rPr>
              <w:t>、审批原则符合性分析</w:t>
            </w:r>
          </w:p>
          <w:p w14:paraId="2FF943E4">
            <w:pPr>
              <w:ind w:firstLine="480"/>
              <w:rPr>
                <w:color w:val="auto"/>
              </w:rPr>
            </w:pPr>
            <w:r>
              <w:rPr>
                <w:rFonts w:hint="eastAsia"/>
                <w:color w:val="auto"/>
              </w:rPr>
              <w:t>本项目为</w:t>
            </w:r>
            <w:r>
              <w:rPr>
                <w:color w:val="auto"/>
              </w:rPr>
              <w:t>通江县铁佛镇移民安置区饮水管网及灌溉水利设施建设工程</w:t>
            </w:r>
            <w:r>
              <w:rPr>
                <w:rFonts w:hint="eastAsia"/>
                <w:color w:val="auto"/>
              </w:rPr>
              <w:t>，包含城乡供水和灌溉工程，同时分析与《</w:t>
            </w:r>
            <w:r>
              <w:rPr>
                <w:color w:val="auto"/>
              </w:rPr>
              <w:t>水利建设项目（灌区工程）环境影响评价文件审批原则（试行）</w:t>
            </w:r>
            <w:r>
              <w:rPr>
                <w:rFonts w:hint="eastAsia"/>
                <w:color w:val="auto"/>
              </w:rPr>
              <w:t>》（</w:t>
            </w:r>
            <w:r>
              <w:rPr>
                <w:color w:val="auto"/>
              </w:rPr>
              <w:t>环办环评〔201</w:t>
            </w:r>
            <w:r>
              <w:rPr>
                <w:rFonts w:hint="eastAsia"/>
                <w:color w:val="auto"/>
              </w:rPr>
              <w:t>8</w:t>
            </w:r>
            <w:r>
              <w:rPr>
                <w:color w:val="auto"/>
              </w:rPr>
              <w:t>〕</w:t>
            </w:r>
            <w:r>
              <w:rPr>
                <w:rFonts w:hint="eastAsia"/>
                <w:color w:val="auto"/>
              </w:rPr>
              <w:t>17</w:t>
            </w:r>
            <w:r>
              <w:rPr>
                <w:color w:val="auto"/>
              </w:rPr>
              <w:t>号</w:t>
            </w:r>
            <w:r>
              <w:rPr>
                <w:rFonts w:hint="eastAsia"/>
                <w:color w:val="auto"/>
              </w:rPr>
              <w:t>）和</w:t>
            </w:r>
            <w:r>
              <w:rPr>
                <w:color w:val="auto"/>
              </w:rPr>
              <w:t>《水利建设项目</w:t>
            </w:r>
            <w:r>
              <w:rPr>
                <w:rFonts w:hint="eastAsia"/>
                <w:color w:val="auto"/>
              </w:rPr>
              <w:t>（引调水</w:t>
            </w:r>
            <w:r>
              <w:rPr>
                <w:color w:val="auto"/>
              </w:rPr>
              <w:t>工程</w:t>
            </w:r>
            <w:r>
              <w:rPr>
                <w:rFonts w:hint="eastAsia"/>
                <w:color w:val="auto"/>
              </w:rPr>
              <w:t>）</w:t>
            </w:r>
            <w:r>
              <w:rPr>
                <w:color w:val="auto"/>
              </w:rPr>
              <w:t>环境影响评价文件审批原则》</w:t>
            </w:r>
            <w:r>
              <w:rPr>
                <w:rFonts w:hint="eastAsia"/>
                <w:color w:val="auto"/>
              </w:rPr>
              <w:t>（</w:t>
            </w:r>
            <w:r>
              <w:rPr>
                <w:color w:val="auto"/>
              </w:rPr>
              <w:t>试行</w:t>
            </w:r>
            <w:r>
              <w:rPr>
                <w:rFonts w:hint="eastAsia"/>
                <w:color w:val="auto"/>
              </w:rPr>
              <w:t>）（</w:t>
            </w:r>
            <w:r>
              <w:rPr>
                <w:color w:val="auto"/>
              </w:rPr>
              <w:t>环办环评〔201</w:t>
            </w:r>
            <w:r>
              <w:rPr>
                <w:rFonts w:hint="eastAsia"/>
                <w:color w:val="auto"/>
              </w:rPr>
              <w:t>6</w:t>
            </w:r>
            <w:r>
              <w:rPr>
                <w:color w:val="auto"/>
              </w:rPr>
              <w:t>〕1</w:t>
            </w:r>
            <w:r>
              <w:rPr>
                <w:rFonts w:hint="eastAsia"/>
                <w:color w:val="auto"/>
              </w:rPr>
              <w:t>14</w:t>
            </w:r>
            <w:r>
              <w:rPr>
                <w:color w:val="auto"/>
              </w:rPr>
              <w:t>号</w:t>
            </w:r>
            <w:r>
              <w:rPr>
                <w:rFonts w:hint="eastAsia"/>
                <w:color w:val="auto"/>
              </w:rPr>
              <w:t>）</w:t>
            </w:r>
            <w:r>
              <w:rPr>
                <w:color w:val="auto"/>
              </w:rPr>
              <w:t>，与本项目相关的审批原则符合性分析见下表。</w:t>
            </w:r>
          </w:p>
          <w:p w14:paraId="08AE45F1">
            <w:pPr>
              <w:pStyle w:val="17"/>
              <w:rPr>
                <w:rFonts w:hint="default"/>
                <w:color w:val="auto"/>
              </w:rPr>
            </w:pPr>
            <w:r>
              <w:rPr>
                <w:color w:val="auto"/>
              </w:rPr>
              <w:t>表1-16 建设项目审批原则符合性分析</w:t>
            </w:r>
          </w:p>
          <w:tbl>
            <w:tblPr>
              <w:tblStyle w:val="1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587"/>
              <w:gridCol w:w="3526"/>
              <w:gridCol w:w="832"/>
            </w:tblGrid>
            <w:tr w14:paraId="277A9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20BDE64D">
                  <w:pPr>
                    <w:pStyle w:val="16"/>
                    <w:jc w:val="center"/>
                    <w:rPr>
                      <w:color w:val="auto"/>
                    </w:rPr>
                  </w:pPr>
                  <w:r>
                    <w:rPr>
                      <w:rFonts w:hint="eastAsia"/>
                      <w:color w:val="auto"/>
                    </w:rPr>
                    <w:t>序号</w:t>
                  </w:r>
                </w:p>
              </w:tc>
              <w:tc>
                <w:tcPr>
                  <w:tcW w:w="2587" w:type="dxa"/>
                  <w:tcBorders>
                    <w:tl2br w:val="nil"/>
                    <w:tr2bl w:val="nil"/>
                  </w:tcBorders>
                  <w:vAlign w:val="center"/>
                </w:tcPr>
                <w:p w14:paraId="3038D0D8">
                  <w:pPr>
                    <w:pStyle w:val="16"/>
                    <w:jc w:val="center"/>
                    <w:rPr>
                      <w:color w:val="auto"/>
                    </w:rPr>
                  </w:pPr>
                  <w:r>
                    <w:rPr>
                      <w:rFonts w:hint="eastAsia"/>
                      <w:color w:val="auto"/>
                    </w:rPr>
                    <w:t>审批要求</w:t>
                  </w:r>
                </w:p>
              </w:tc>
              <w:tc>
                <w:tcPr>
                  <w:tcW w:w="3526" w:type="dxa"/>
                  <w:tcBorders>
                    <w:tl2br w:val="nil"/>
                    <w:tr2bl w:val="nil"/>
                  </w:tcBorders>
                  <w:vAlign w:val="center"/>
                </w:tcPr>
                <w:p w14:paraId="0EB0C324">
                  <w:pPr>
                    <w:pStyle w:val="16"/>
                    <w:jc w:val="center"/>
                    <w:rPr>
                      <w:color w:val="auto"/>
                    </w:rPr>
                  </w:pPr>
                  <w:r>
                    <w:rPr>
                      <w:rFonts w:hint="eastAsia"/>
                      <w:color w:val="auto"/>
                    </w:rPr>
                    <w:t>符合性分析</w:t>
                  </w:r>
                </w:p>
              </w:tc>
              <w:tc>
                <w:tcPr>
                  <w:tcW w:w="832" w:type="dxa"/>
                  <w:tcBorders>
                    <w:tl2br w:val="nil"/>
                    <w:tr2bl w:val="nil"/>
                  </w:tcBorders>
                  <w:vAlign w:val="center"/>
                </w:tcPr>
                <w:p w14:paraId="2E3AF94C">
                  <w:pPr>
                    <w:pStyle w:val="16"/>
                    <w:jc w:val="center"/>
                    <w:rPr>
                      <w:color w:val="auto"/>
                    </w:rPr>
                  </w:pPr>
                  <w:r>
                    <w:rPr>
                      <w:rFonts w:hint="eastAsia"/>
                      <w:color w:val="auto"/>
                    </w:rPr>
                    <w:t>是否符合</w:t>
                  </w:r>
                </w:p>
              </w:tc>
            </w:tr>
            <w:tr w14:paraId="2F876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25AA3F27">
                  <w:pPr>
                    <w:pStyle w:val="16"/>
                    <w:jc w:val="center"/>
                    <w:rPr>
                      <w:b/>
                      <w:bCs/>
                      <w:color w:val="auto"/>
                    </w:rPr>
                  </w:pPr>
                  <w:r>
                    <w:rPr>
                      <w:rFonts w:hint="eastAsia"/>
                      <w:b/>
                      <w:bCs/>
                      <w:color w:val="auto"/>
                    </w:rPr>
                    <w:t>一</w:t>
                  </w:r>
                </w:p>
              </w:tc>
              <w:tc>
                <w:tcPr>
                  <w:tcW w:w="6945" w:type="dxa"/>
                  <w:gridSpan w:val="3"/>
                  <w:tcBorders>
                    <w:tl2br w:val="nil"/>
                    <w:tr2bl w:val="nil"/>
                  </w:tcBorders>
                  <w:vAlign w:val="center"/>
                </w:tcPr>
                <w:p w14:paraId="1649FD4E">
                  <w:pPr>
                    <w:pStyle w:val="16"/>
                    <w:jc w:val="center"/>
                    <w:rPr>
                      <w:b/>
                      <w:bCs/>
                      <w:color w:val="auto"/>
                    </w:rPr>
                  </w:pPr>
                  <w:r>
                    <w:rPr>
                      <w:rFonts w:hint="eastAsia"/>
                      <w:b/>
                      <w:bCs/>
                      <w:color w:val="auto"/>
                    </w:rPr>
                    <w:t>水利建设项目（引调水工程）环境影响评价文件审批原则（试行）</w:t>
                  </w:r>
                </w:p>
              </w:tc>
            </w:tr>
            <w:tr w14:paraId="2FDB0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7A8760E">
                  <w:pPr>
                    <w:pStyle w:val="16"/>
                    <w:jc w:val="center"/>
                    <w:rPr>
                      <w:color w:val="auto"/>
                    </w:rPr>
                  </w:pPr>
                  <w:r>
                    <w:rPr>
                      <w:rFonts w:hint="eastAsia"/>
                      <w:color w:val="auto"/>
                    </w:rPr>
                    <w:t>1</w:t>
                  </w:r>
                </w:p>
              </w:tc>
              <w:tc>
                <w:tcPr>
                  <w:tcW w:w="2587" w:type="dxa"/>
                  <w:tcBorders>
                    <w:tl2br w:val="nil"/>
                    <w:tr2bl w:val="nil"/>
                  </w:tcBorders>
                  <w:vAlign w:val="center"/>
                </w:tcPr>
                <w:p w14:paraId="14C5EE73">
                  <w:pPr>
                    <w:pStyle w:val="16"/>
                    <w:rPr>
                      <w:color w:val="auto"/>
                    </w:rPr>
                  </w:pPr>
                  <w:r>
                    <w:rPr>
                      <w:color w:val="auto"/>
                    </w:rPr>
                    <w:t>项目符合资源与环境保护相关法律法规和政策，与主体功能区规划、生态功能区划等相协调，开发任务、供水范围及对象、调水规模、选址选线等工程主要内容总体满足流域综合规划、水资源综合规划、水资源开发利用（含供水）规划、工程规划、流域水污染防治规划、流域生态保护规划等相关规划、规划环评及审查意见要求。</w:t>
                  </w:r>
                </w:p>
                <w:p w14:paraId="085972E5">
                  <w:pPr>
                    <w:pStyle w:val="16"/>
                    <w:rPr>
                      <w:color w:val="auto"/>
                    </w:rPr>
                  </w:pPr>
                  <w:r>
                    <w:rPr>
                      <w:color w:val="auto"/>
                    </w:rPr>
                    <w:t>项目符合“先节水后调水、先治污后通水、先环保后用水”原则，与水资源开发利用及区域用水总量控制、用水效率控制、水（环境）功能区限制纳污控制等相协调。充分考虑调出区经济社会发展和生态环境用水需求，调水量不得超出调出区水资源利用上限，受水区水资源配置与区域水资源水环境承载能力相适应。</w:t>
                  </w:r>
                </w:p>
              </w:tc>
              <w:tc>
                <w:tcPr>
                  <w:tcW w:w="3526" w:type="dxa"/>
                  <w:tcBorders>
                    <w:tl2br w:val="nil"/>
                    <w:tr2bl w:val="nil"/>
                  </w:tcBorders>
                  <w:vAlign w:val="center"/>
                </w:tcPr>
                <w:p w14:paraId="6A9968BF">
                  <w:pPr>
                    <w:pStyle w:val="16"/>
                    <w:rPr>
                      <w:color w:val="auto"/>
                    </w:rPr>
                  </w:pPr>
                  <w:r>
                    <w:rPr>
                      <w:rFonts w:hint="eastAsia"/>
                      <w:color w:val="auto"/>
                    </w:rPr>
                    <w:t>通江县铁佛镇移民安置区饮水管网及灌溉水利设施建设工程建成后，可</w:t>
                  </w:r>
                  <w:r>
                    <w:rPr>
                      <w:color w:val="auto"/>
                    </w:rPr>
                    <w:t>改善流里河水库片区和澌溪沟水库片区总灌溉面积1.13万亩，建成后灌溉水利用系数达到0.855，</w:t>
                  </w:r>
                  <w:r>
                    <w:rPr>
                      <w:rFonts w:hint="eastAsia"/>
                      <w:color w:val="auto"/>
                    </w:rPr>
                    <w:t>可保障铁佛镇和麻石镇共1.84万人生活用水，项目与</w:t>
                  </w:r>
                  <w:r>
                    <w:rPr>
                      <w:color w:val="auto"/>
                    </w:rPr>
                    <w:t>通江县水资源综合规划</w:t>
                  </w:r>
                  <w:r>
                    <w:rPr>
                      <w:rFonts w:hint="eastAsia"/>
                      <w:color w:val="auto"/>
                    </w:rPr>
                    <w:t>、通江县“十四五”水安全保障规划（2021—2025年）等相关规划相符合；</w:t>
                  </w:r>
                  <w:r>
                    <w:rPr>
                      <w:color w:val="auto"/>
                    </w:rPr>
                    <w:t>本工程供水输水型式采用管道输水，经计算，</w:t>
                  </w:r>
                  <w:r>
                    <w:rPr>
                      <w:rFonts w:hint="eastAsia"/>
                      <w:color w:val="auto"/>
                    </w:rPr>
                    <w:t>本工程</w:t>
                  </w:r>
                  <w:r>
                    <w:rPr>
                      <w:color w:val="auto"/>
                    </w:rPr>
                    <w:t>灌区的灌溉水利用系数为0.855，管系水利用系数为0.95，田间水利用系数为0.90，处于合理范围内，符合《节水灌溉工程技术标准》（GB/T 50363-2018）要求。本工程供水输水型式采用管道输水，管</w:t>
                  </w:r>
                  <w:r>
                    <w:rPr>
                      <w:rFonts w:hint="eastAsia"/>
                      <w:color w:val="auto"/>
                    </w:rPr>
                    <w:t>网漏损率为9%</w:t>
                  </w:r>
                  <w:r>
                    <w:rPr>
                      <w:color w:val="auto"/>
                    </w:rPr>
                    <w:t>。整个供水工程实行整体管理体制，同时在工程运行时还充分的考虑了实时监控计量设施的设置，可及时管控输水过程。</w:t>
                  </w:r>
                  <w:r>
                    <w:rPr>
                      <w:rFonts w:hint="eastAsia"/>
                      <w:color w:val="auto"/>
                    </w:rPr>
                    <w:t>本项目</w:t>
                  </w:r>
                  <w:r>
                    <w:rPr>
                      <w:color w:val="auto"/>
                    </w:rPr>
                    <w:t>流里河水库取水口、王家河水库取水口和澌溪沟水库取水口三个水库取水口断面综合水质类别为Ⅱ类，综合水质状况为优。</w:t>
                  </w:r>
                  <w:r>
                    <w:rPr>
                      <w:rFonts w:hint="eastAsia"/>
                      <w:color w:val="auto"/>
                    </w:rPr>
                    <w:t>工程建成运行后，通过科学调控出库与引水流量，通江受水区水质可实现持续稳定达标，流里河、王家河、澌溪沟三个水库坝下河段以及通江受水区</w:t>
                  </w:r>
                  <w:r>
                    <w:rPr>
                      <w:color w:val="auto"/>
                    </w:rPr>
                    <w:t>2035</w:t>
                  </w:r>
                  <w:r>
                    <w:rPr>
                      <w:rFonts w:hint="eastAsia"/>
                      <w:color w:val="auto"/>
                    </w:rPr>
                    <w:t>年各水平年</w:t>
                  </w:r>
                  <w:r>
                    <w:rPr>
                      <w:color w:val="auto"/>
                    </w:rPr>
                    <w:t>COD</w:t>
                  </w:r>
                  <w:r>
                    <w:rPr>
                      <w:rFonts w:hint="eastAsia"/>
                      <w:color w:val="auto"/>
                    </w:rPr>
                    <w:t>、</w:t>
                  </w:r>
                  <w:r>
                    <w:rPr>
                      <w:color w:val="auto"/>
                    </w:rPr>
                    <w:t>NH</w:t>
                  </w:r>
                  <w:r>
                    <w:rPr>
                      <w:rFonts w:hint="eastAsia"/>
                      <w:color w:val="auto"/>
                      <w:vertAlign w:val="subscript"/>
                    </w:rPr>
                    <w:t>3</w:t>
                  </w:r>
                  <w:r>
                    <w:rPr>
                      <w:color w:val="auto"/>
                    </w:rPr>
                    <w:t>-N</w:t>
                  </w:r>
                  <w:r>
                    <w:rPr>
                      <w:rFonts w:hint="eastAsia"/>
                      <w:color w:val="auto"/>
                    </w:rPr>
                    <w:t>、TP和TN等核心污染指标均能满足</w:t>
                  </w:r>
                  <w:r>
                    <w:rPr>
                      <w:color w:val="auto"/>
                    </w:rPr>
                    <w:t>《地表水环境质量标准》（GB3838-2002）</w:t>
                  </w:r>
                  <w:r>
                    <w:rPr>
                      <w:rFonts w:hint="eastAsia"/>
                      <w:color w:val="auto"/>
                    </w:rPr>
                    <w:t>Ⅲ类及以上标准，即便在人口密集区污染源汇入及铁佛灌区污染负荷增长（</w:t>
                  </w:r>
                  <w:r>
                    <w:rPr>
                      <w:color w:val="auto"/>
                    </w:rPr>
                    <w:t>COD</w:t>
                  </w:r>
                  <w:r>
                    <w:rPr>
                      <w:rFonts w:hint="eastAsia"/>
                      <w:color w:val="auto"/>
                    </w:rPr>
                    <w:t>增长率</w:t>
                  </w:r>
                  <w:r>
                    <w:rPr>
                      <w:color w:val="auto"/>
                    </w:rPr>
                    <w:t>19.7%</w:t>
                  </w:r>
                  <w:r>
                    <w:rPr>
                      <w:rFonts w:hint="eastAsia"/>
                      <w:color w:val="auto"/>
                    </w:rPr>
                    <w:t>、</w:t>
                  </w:r>
                  <w:r>
                    <w:rPr>
                      <w:color w:val="auto"/>
                    </w:rPr>
                    <w:t>TP</w:t>
                  </w:r>
                  <w:r>
                    <w:rPr>
                      <w:rFonts w:hint="eastAsia"/>
                      <w:color w:val="auto"/>
                    </w:rPr>
                    <w:t>增长率</w:t>
                  </w:r>
                  <w:r>
                    <w:rPr>
                      <w:color w:val="auto"/>
                    </w:rPr>
                    <w:t>22.2%</w:t>
                  </w:r>
                  <w:r>
                    <w:rPr>
                      <w:rFonts w:hint="eastAsia"/>
                      <w:color w:val="auto"/>
                    </w:rPr>
                    <w:t>）的情况下，受水区水质仍无波动风险。</w:t>
                  </w:r>
                  <w:r>
                    <w:rPr>
                      <w:color w:val="auto"/>
                    </w:rPr>
                    <w:t>项目符合“先节水后调水、先治污后通水、先环保后用水”原则，与水资源开发利用及区域用水总量控制、用水效率控制、水（环境）功能区限制纳污控制等相协调。</w:t>
                  </w:r>
                  <w:r>
                    <w:rPr>
                      <w:rFonts w:hint="eastAsia"/>
                      <w:color w:val="auto"/>
                    </w:rPr>
                    <w:t>本项目</w:t>
                  </w:r>
                  <w:r>
                    <w:rPr>
                      <w:color w:val="auto"/>
                    </w:rPr>
                    <w:t>建成后，</w:t>
                  </w:r>
                  <w:r>
                    <w:rPr>
                      <w:rFonts w:hint="eastAsia"/>
                      <w:color w:val="auto"/>
                    </w:rPr>
                    <w:t>工程</w:t>
                  </w:r>
                  <w:r>
                    <w:rPr>
                      <w:color w:val="auto"/>
                    </w:rPr>
                    <w:t>取水量满足通江县、大通江</w:t>
                  </w:r>
                  <w:r>
                    <w:rPr>
                      <w:rFonts w:hint="eastAsia"/>
                      <w:color w:val="auto"/>
                    </w:rPr>
                    <w:t>流域</w:t>
                  </w:r>
                  <w:r>
                    <w:rPr>
                      <w:color w:val="auto"/>
                    </w:rPr>
                    <w:t>用水总量控制指标要求</w:t>
                  </w:r>
                  <w:r>
                    <w:rPr>
                      <w:rFonts w:hint="eastAsia"/>
                      <w:color w:val="auto"/>
                    </w:rPr>
                    <w:t>，对区域水资源分配无影响</w:t>
                  </w:r>
                  <w:r>
                    <w:rPr>
                      <w:color w:val="auto"/>
                    </w:rPr>
                    <w:t>。</w:t>
                  </w:r>
                </w:p>
              </w:tc>
              <w:tc>
                <w:tcPr>
                  <w:tcW w:w="832" w:type="dxa"/>
                  <w:tcBorders>
                    <w:tl2br w:val="nil"/>
                    <w:tr2bl w:val="nil"/>
                  </w:tcBorders>
                  <w:vAlign w:val="center"/>
                </w:tcPr>
                <w:p w14:paraId="1A545203">
                  <w:pPr>
                    <w:pStyle w:val="16"/>
                    <w:jc w:val="center"/>
                    <w:rPr>
                      <w:color w:val="auto"/>
                    </w:rPr>
                  </w:pPr>
                  <w:r>
                    <w:rPr>
                      <w:rFonts w:hint="eastAsia"/>
                      <w:color w:val="auto"/>
                    </w:rPr>
                    <w:t>符合</w:t>
                  </w:r>
                </w:p>
              </w:tc>
            </w:tr>
            <w:tr w14:paraId="02628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00063CED">
                  <w:pPr>
                    <w:pStyle w:val="16"/>
                    <w:jc w:val="center"/>
                    <w:rPr>
                      <w:color w:val="auto"/>
                    </w:rPr>
                  </w:pPr>
                  <w:r>
                    <w:rPr>
                      <w:rFonts w:hint="eastAsia"/>
                      <w:color w:val="auto"/>
                    </w:rPr>
                    <w:t>2</w:t>
                  </w:r>
                </w:p>
              </w:tc>
              <w:tc>
                <w:tcPr>
                  <w:tcW w:w="2587" w:type="dxa"/>
                  <w:tcBorders>
                    <w:tl2br w:val="nil"/>
                    <w:tr2bl w:val="nil"/>
                  </w:tcBorders>
                  <w:vAlign w:val="center"/>
                </w:tcPr>
                <w:p w14:paraId="0A5BFF28">
                  <w:pPr>
                    <w:pStyle w:val="16"/>
                    <w:rPr>
                      <w:color w:val="auto"/>
                    </w:rPr>
                  </w:pPr>
                  <w:r>
                    <w:rPr>
                      <w:color w:val="auto"/>
                    </w:rPr>
                    <w:t>工程选址选线、施工布置和水库淹没原则上不得占用自然保护区、风景名胜区、生态保护红线等敏感区内法律法规禁止占用的区域和已明确作为栖息地保护区域，并与饮用水水源保护区的有关保护要求相协调。</w:t>
                  </w:r>
                </w:p>
              </w:tc>
              <w:tc>
                <w:tcPr>
                  <w:tcW w:w="3526" w:type="dxa"/>
                  <w:tcBorders>
                    <w:tl2br w:val="nil"/>
                    <w:tr2bl w:val="nil"/>
                  </w:tcBorders>
                  <w:vAlign w:val="center"/>
                </w:tcPr>
                <w:p w14:paraId="065857B6">
                  <w:pPr>
                    <w:pStyle w:val="16"/>
                    <w:rPr>
                      <w:color w:val="auto"/>
                    </w:rPr>
                  </w:pPr>
                  <w:r>
                    <w:rPr>
                      <w:rFonts w:hint="eastAsia"/>
                      <w:color w:val="auto"/>
                    </w:rPr>
                    <w:t>本项目利用已建水库工程，</w:t>
                  </w:r>
                  <w:r>
                    <w:rPr>
                      <w:color w:val="auto"/>
                    </w:rPr>
                    <w:t>工程选址选线、施工布置</w:t>
                  </w:r>
                  <w:r>
                    <w:rPr>
                      <w:rFonts w:hint="eastAsia"/>
                      <w:color w:val="auto"/>
                    </w:rPr>
                    <w:t>未</w:t>
                  </w:r>
                  <w:r>
                    <w:rPr>
                      <w:color w:val="auto"/>
                    </w:rPr>
                    <w:t>占用自然保护区、风景名胜区、生态保护红线等敏感区内法律法规禁止占用的区域和已明确作为栖息地保护区域</w:t>
                  </w:r>
                  <w:r>
                    <w:rPr>
                      <w:rFonts w:hint="eastAsia"/>
                      <w:color w:val="auto"/>
                    </w:rPr>
                    <w:t>，项目建设期间将严格遵守</w:t>
                  </w:r>
                  <w:r>
                    <w:rPr>
                      <w:color w:val="auto"/>
                    </w:rPr>
                    <w:t>饮用水水源保护区的有关保护要求</w:t>
                  </w:r>
                  <w:r>
                    <w:rPr>
                      <w:rFonts w:hint="eastAsia"/>
                      <w:color w:val="auto"/>
                    </w:rPr>
                    <w:t>。</w:t>
                  </w:r>
                </w:p>
              </w:tc>
              <w:tc>
                <w:tcPr>
                  <w:tcW w:w="832" w:type="dxa"/>
                  <w:tcBorders>
                    <w:tl2br w:val="nil"/>
                    <w:tr2bl w:val="nil"/>
                  </w:tcBorders>
                  <w:vAlign w:val="center"/>
                </w:tcPr>
                <w:p w14:paraId="06298867">
                  <w:pPr>
                    <w:pStyle w:val="16"/>
                    <w:jc w:val="center"/>
                    <w:rPr>
                      <w:color w:val="auto"/>
                    </w:rPr>
                  </w:pPr>
                  <w:r>
                    <w:rPr>
                      <w:rFonts w:hint="eastAsia"/>
                      <w:color w:val="auto"/>
                    </w:rPr>
                    <w:t>符合</w:t>
                  </w:r>
                </w:p>
              </w:tc>
            </w:tr>
            <w:tr w14:paraId="6095DE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19529E84">
                  <w:pPr>
                    <w:pStyle w:val="16"/>
                    <w:jc w:val="center"/>
                    <w:rPr>
                      <w:color w:val="auto"/>
                    </w:rPr>
                  </w:pPr>
                  <w:r>
                    <w:rPr>
                      <w:rFonts w:hint="eastAsia"/>
                      <w:color w:val="auto"/>
                    </w:rPr>
                    <w:t>3</w:t>
                  </w:r>
                </w:p>
              </w:tc>
              <w:tc>
                <w:tcPr>
                  <w:tcW w:w="2587" w:type="dxa"/>
                  <w:tcBorders>
                    <w:tl2br w:val="nil"/>
                    <w:tr2bl w:val="nil"/>
                  </w:tcBorders>
                  <w:vAlign w:val="center"/>
                </w:tcPr>
                <w:p w14:paraId="1197E593">
                  <w:pPr>
                    <w:pStyle w:val="16"/>
                    <w:rPr>
                      <w:color w:val="auto"/>
                    </w:rPr>
                  </w:pPr>
                  <w:r>
                    <w:rPr>
                      <w:color w:val="auto"/>
                    </w:rPr>
                    <w:t>项目调水和水库调蓄造成调出区取水枢纽下游水量减少和水文情势改变且带来不利影响的，在统筹考虑满足下游河道水生生态、水环境、景观、湿地等生态环境用水及生产、生活用水需求的基础上，提出了调水总量和过程控制、输水线路或末端调蓄能力保障、生态流量泄放、生态（联合）调度等措施，明确了生态流量泄放和在线监测设施以及管理措施等内容。针对水库下泄或调出低温水、泄洪造成的气体过饱和等导致的不利生态环境影响，提出了分层取水、优化泄洪形式或调度方式、管理等措施。根据水质管理目标要求，提出了水源区污染源治理、库底环境清理、污水处理等水质保障措施；兼顾城乡生活供水任务的，还提出了划定饮用水水源保护区、设置隔离防护带等措施。</w:t>
                  </w:r>
                </w:p>
              </w:tc>
              <w:tc>
                <w:tcPr>
                  <w:tcW w:w="3526" w:type="dxa"/>
                  <w:tcBorders>
                    <w:tl2br w:val="nil"/>
                    <w:tr2bl w:val="nil"/>
                  </w:tcBorders>
                  <w:vAlign w:val="center"/>
                </w:tcPr>
                <w:p w14:paraId="0B4EF27E">
                  <w:pPr>
                    <w:pStyle w:val="16"/>
                    <w:rPr>
                      <w:color w:val="auto"/>
                    </w:rPr>
                  </w:pPr>
                  <w:r>
                    <w:rPr>
                      <w:rFonts w:hint="eastAsia"/>
                      <w:color w:val="auto"/>
                    </w:rPr>
                    <w:t>根据预测分析本项目调水未对调出区造成不利影响，并采取措施保障了生态流量。</w:t>
                  </w:r>
                </w:p>
              </w:tc>
              <w:tc>
                <w:tcPr>
                  <w:tcW w:w="832" w:type="dxa"/>
                  <w:tcBorders>
                    <w:tl2br w:val="nil"/>
                    <w:tr2bl w:val="nil"/>
                  </w:tcBorders>
                  <w:vAlign w:val="center"/>
                </w:tcPr>
                <w:p w14:paraId="6EB994FF">
                  <w:pPr>
                    <w:pStyle w:val="16"/>
                    <w:jc w:val="center"/>
                    <w:rPr>
                      <w:color w:val="auto"/>
                    </w:rPr>
                  </w:pPr>
                  <w:r>
                    <w:rPr>
                      <w:rFonts w:hint="eastAsia"/>
                      <w:color w:val="auto"/>
                    </w:rPr>
                    <w:t>符合</w:t>
                  </w:r>
                </w:p>
              </w:tc>
            </w:tr>
            <w:tr w14:paraId="04019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0814504">
                  <w:pPr>
                    <w:pStyle w:val="16"/>
                    <w:jc w:val="center"/>
                    <w:rPr>
                      <w:color w:val="auto"/>
                    </w:rPr>
                  </w:pPr>
                  <w:r>
                    <w:rPr>
                      <w:rFonts w:hint="eastAsia"/>
                      <w:color w:val="auto"/>
                    </w:rPr>
                    <w:t>4</w:t>
                  </w:r>
                </w:p>
              </w:tc>
              <w:tc>
                <w:tcPr>
                  <w:tcW w:w="2587" w:type="dxa"/>
                  <w:tcBorders>
                    <w:tl2br w:val="nil"/>
                    <w:tr2bl w:val="nil"/>
                  </w:tcBorders>
                  <w:vAlign w:val="center"/>
                </w:tcPr>
                <w:p w14:paraId="2A41AE7A">
                  <w:pPr>
                    <w:pStyle w:val="16"/>
                    <w:rPr>
                      <w:color w:val="auto"/>
                    </w:rPr>
                  </w:pPr>
                  <w:r>
                    <w:rPr>
                      <w:color w:val="auto"/>
                    </w:rPr>
                    <w:t>根据输水线路水环境保护需求，提出了划定饮用水水源保护区、源头治理、截污导流、河道清淤或建设隔离带等措施，保障输水水质达标。输水河湖具有航运、旅游等其他功能且可能对水质安全带来不利影响的，提出了不得影响输水水质的港口码头选址建设要求、制定限制或禁止运输的货物种类目录、船舶污染防治等水污染防范措施。</w:t>
                  </w:r>
                </w:p>
              </w:tc>
              <w:tc>
                <w:tcPr>
                  <w:tcW w:w="3526" w:type="dxa"/>
                  <w:tcBorders>
                    <w:tl2br w:val="nil"/>
                    <w:tr2bl w:val="nil"/>
                  </w:tcBorders>
                  <w:vAlign w:val="center"/>
                </w:tcPr>
                <w:p w14:paraId="34CF5A42">
                  <w:pPr>
                    <w:pStyle w:val="16"/>
                    <w:rPr>
                      <w:color w:val="auto"/>
                    </w:rPr>
                  </w:pPr>
                  <w:r>
                    <w:rPr>
                      <w:rFonts w:hint="eastAsia"/>
                      <w:color w:val="auto"/>
                    </w:rPr>
                    <w:t>本项目已按水环境保护需求，提出划定</w:t>
                  </w:r>
                  <w:r>
                    <w:rPr>
                      <w:color w:val="auto"/>
                    </w:rPr>
                    <w:t>饮用水水源保护区</w:t>
                  </w:r>
                  <w:r>
                    <w:rPr>
                      <w:rFonts w:hint="eastAsia"/>
                      <w:color w:val="auto"/>
                    </w:rPr>
                    <w:t>要求。</w:t>
                  </w:r>
                </w:p>
              </w:tc>
              <w:tc>
                <w:tcPr>
                  <w:tcW w:w="832" w:type="dxa"/>
                  <w:tcBorders>
                    <w:tl2br w:val="nil"/>
                    <w:tr2bl w:val="nil"/>
                  </w:tcBorders>
                  <w:vAlign w:val="center"/>
                </w:tcPr>
                <w:p w14:paraId="11C66AF3">
                  <w:pPr>
                    <w:pStyle w:val="16"/>
                    <w:jc w:val="center"/>
                    <w:rPr>
                      <w:color w:val="auto"/>
                    </w:rPr>
                  </w:pPr>
                  <w:r>
                    <w:rPr>
                      <w:rFonts w:hint="eastAsia"/>
                      <w:color w:val="auto"/>
                    </w:rPr>
                    <w:t>符合</w:t>
                  </w:r>
                </w:p>
              </w:tc>
            </w:tr>
            <w:tr w14:paraId="065DF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4D3DC214">
                  <w:pPr>
                    <w:pStyle w:val="16"/>
                    <w:jc w:val="center"/>
                    <w:rPr>
                      <w:color w:val="auto"/>
                    </w:rPr>
                  </w:pPr>
                  <w:r>
                    <w:rPr>
                      <w:rFonts w:hint="eastAsia"/>
                      <w:color w:val="auto"/>
                    </w:rPr>
                    <w:t>5</w:t>
                  </w:r>
                </w:p>
              </w:tc>
              <w:tc>
                <w:tcPr>
                  <w:tcW w:w="2587" w:type="dxa"/>
                  <w:tcBorders>
                    <w:tl2br w:val="nil"/>
                    <w:tr2bl w:val="nil"/>
                  </w:tcBorders>
                  <w:vAlign w:val="center"/>
                </w:tcPr>
                <w:p w14:paraId="554B5580">
                  <w:pPr>
                    <w:pStyle w:val="16"/>
                    <w:rPr>
                      <w:color w:val="auto"/>
                    </w:rPr>
                  </w:pPr>
                  <w:r>
                    <w:rPr>
                      <w:color w:val="auto"/>
                    </w:rPr>
                    <w:t>受水区水污染治理以改善水环境质量为目标，遵循“增水不增污”或“增水减污”原则，并有经相关地方人民政府认可的水污染防治相关规划作为支撑。</w:t>
                  </w:r>
                </w:p>
              </w:tc>
              <w:tc>
                <w:tcPr>
                  <w:tcW w:w="3526" w:type="dxa"/>
                  <w:tcBorders>
                    <w:tl2br w:val="nil"/>
                    <w:tr2bl w:val="nil"/>
                  </w:tcBorders>
                  <w:vAlign w:val="center"/>
                </w:tcPr>
                <w:p w14:paraId="461C0058">
                  <w:pPr>
                    <w:pStyle w:val="16"/>
                    <w:rPr>
                      <w:color w:val="auto"/>
                    </w:rPr>
                  </w:pPr>
                  <w:r>
                    <w:rPr>
                      <w:rFonts w:hint="eastAsia"/>
                      <w:color w:val="auto"/>
                    </w:rPr>
                    <w:t>本项目建成运行后，通过科学调控出库与引水流量，通江受水区水质可实现持续稳定达标，流里河、王家河、澌溪沟三个水库坝下河段以及通江受水区</w:t>
                  </w:r>
                  <w:r>
                    <w:rPr>
                      <w:color w:val="auto"/>
                    </w:rPr>
                    <w:t>2035</w:t>
                  </w:r>
                  <w:r>
                    <w:rPr>
                      <w:rFonts w:hint="eastAsia"/>
                      <w:color w:val="auto"/>
                    </w:rPr>
                    <w:t>年各水平年</w:t>
                  </w:r>
                  <w:r>
                    <w:rPr>
                      <w:color w:val="auto"/>
                    </w:rPr>
                    <w:t>COD</w:t>
                  </w:r>
                  <w:r>
                    <w:rPr>
                      <w:rFonts w:hint="eastAsia"/>
                      <w:color w:val="auto"/>
                    </w:rPr>
                    <w:t>、</w:t>
                  </w:r>
                  <w:r>
                    <w:rPr>
                      <w:color w:val="auto"/>
                    </w:rPr>
                    <w:t>NH</w:t>
                  </w:r>
                  <w:r>
                    <w:rPr>
                      <w:rFonts w:hint="eastAsia"/>
                      <w:color w:val="auto"/>
                      <w:vertAlign w:val="subscript"/>
                    </w:rPr>
                    <w:t>3</w:t>
                  </w:r>
                  <w:r>
                    <w:rPr>
                      <w:color w:val="auto"/>
                    </w:rPr>
                    <w:t>-N</w:t>
                  </w:r>
                  <w:r>
                    <w:rPr>
                      <w:rFonts w:hint="eastAsia"/>
                      <w:color w:val="auto"/>
                    </w:rPr>
                    <w:t>、TP和TN等核心污染指标均能满足</w:t>
                  </w:r>
                  <w:r>
                    <w:rPr>
                      <w:color w:val="auto"/>
                    </w:rPr>
                    <w:t>《地表水环境质量标准》（GB3838-2002）</w:t>
                  </w:r>
                  <w:r>
                    <w:rPr>
                      <w:rFonts w:hint="eastAsia"/>
                      <w:color w:val="auto"/>
                    </w:rPr>
                    <w:t>Ⅲ类及以上标准，即便在人口密集区污染源汇入及铁佛灌区污染负荷增长（</w:t>
                  </w:r>
                  <w:r>
                    <w:rPr>
                      <w:color w:val="auto"/>
                    </w:rPr>
                    <w:t>COD</w:t>
                  </w:r>
                  <w:r>
                    <w:rPr>
                      <w:rFonts w:hint="eastAsia"/>
                      <w:color w:val="auto"/>
                    </w:rPr>
                    <w:t>增长率</w:t>
                  </w:r>
                  <w:r>
                    <w:rPr>
                      <w:color w:val="auto"/>
                    </w:rPr>
                    <w:t>19.7%</w:t>
                  </w:r>
                  <w:r>
                    <w:rPr>
                      <w:rFonts w:hint="eastAsia"/>
                      <w:color w:val="auto"/>
                    </w:rPr>
                    <w:t>、</w:t>
                  </w:r>
                  <w:r>
                    <w:rPr>
                      <w:color w:val="auto"/>
                    </w:rPr>
                    <w:t>TP</w:t>
                  </w:r>
                  <w:r>
                    <w:rPr>
                      <w:rFonts w:hint="eastAsia"/>
                      <w:color w:val="auto"/>
                    </w:rPr>
                    <w:t>增长率</w:t>
                  </w:r>
                  <w:r>
                    <w:rPr>
                      <w:color w:val="auto"/>
                    </w:rPr>
                    <w:t>22.2%</w:t>
                  </w:r>
                  <w:r>
                    <w:rPr>
                      <w:rFonts w:hint="eastAsia"/>
                      <w:color w:val="auto"/>
                    </w:rPr>
                    <w:t>）的情况下，受水区水质仍无波动风险。同时，水库形成的稳定水体环境使库区水体降解时间大幅增加，自净能力显著提升，三座水库库区丰、平、枯水年水质均能达到Ⅱ类标准，较现状实现明显改善，工程对区域水文情势影响极小，退水流量占来水流量比例不足1%，最终在保障受水区优良水质的基础上实现了库区水质优化，生态与社会效益显著。</w:t>
                  </w:r>
                </w:p>
              </w:tc>
              <w:tc>
                <w:tcPr>
                  <w:tcW w:w="832" w:type="dxa"/>
                  <w:tcBorders>
                    <w:tl2br w:val="nil"/>
                    <w:tr2bl w:val="nil"/>
                  </w:tcBorders>
                  <w:vAlign w:val="center"/>
                </w:tcPr>
                <w:p w14:paraId="3B45F893">
                  <w:pPr>
                    <w:pStyle w:val="16"/>
                    <w:jc w:val="center"/>
                    <w:rPr>
                      <w:color w:val="auto"/>
                    </w:rPr>
                  </w:pPr>
                  <w:r>
                    <w:rPr>
                      <w:rFonts w:hint="eastAsia"/>
                      <w:color w:val="auto"/>
                    </w:rPr>
                    <w:t>符合</w:t>
                  </w:r>
                </w:p>
              </w:tc>
            </w:tr>
            <w:tr w14:paraId="55888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5E3DF08C">
                  <w:pPr>
                    <w:pStyle w:val="16"/>
                    <w:jc w:val="center"/>
                    <w:rPr>
                      <w:color w:val="auto"/>
                    </w:rPr>
                  </w:pPr>
                  <w:r>
                    <w:rPr>
                      <w:rFonts w:hint="eastAsia"/>
                      <w:color w:val="auto"/>
                    </w:rPr>
                    <w:t>6</w:t>
                  </w:r>
                </w:p>
              </w:tc>
              <w:tc>
                <w:tcPr>
                  <w:tcW w:w="2587" w:type="dxa"/>
                  <w:tcBorders>
                    <w:tl2br w:val="nil"/>
                    <w:tr2bl w:val="nil"/>
                  </w:tcBorders>
                  <w:vAlign w:val="center"/>
                </w:tcPr>
                <w:p w14:paraId="09421603">
                  <w:pPr>
                    <w:pStyle w:val="16"/>
                    <w:rPr>
                      <w:color w:val="auto"/>
                    </w:rPr>
                  </w:pPr>
                  <w:r>
                    <w:rPr>
                      <w:color w:val="auto"/>
                    </w:rPr>
                    <w:t>项目建设可能造成水库和输水沿线周边地下水位变化，引起土壤潜育化、沼泽化、盐碱化、沙化或植被退化演替等次生生态影响的，提出了封堵、导排、防护等针对性措施。</w:t>
                  </w:r>
                </w:p>
              </w:tc>
              <w:tc>
                <w:tcPr>
                  <w:tcW w:w="3526" w:type="dxa"/>
                  <w:tcBorders>
                    <w:tl2br w:val="nil"/>
                    <w:tr2bl w:val="nil"/>
                  </w:tcBorders>
                  <w:vAlign w:val="center"/>
                </w:tcPr>
                <w:p w14:paraId="47531AD3">
                  <w:pPr>
                    <w:pStyle w:val="16"/>
                    <w:rPr>
                      <w:color w:val="auto"/>
                    </w:rPr>
                  </w:pPr>
                  <w:r>
                    <w:rPr>
                      <w:rFonts w:hint="eastAsia"/>
                      <w:color w:val="auto"/>
                    </w:rPr>
                    <w:t>项目建设不会造成</w:t>
                  </w:r>
                  <w:r>
                    <w:rPr>
                      <w:color w:val="auto"/>
                    </w:rPr>
                    <w:t>水库和输水沿线周边地下水位变化，引起土壤潜育化、沼泽化、盐碱化、沙化或植被退化演替等次生生态影响</w:t>
                  </w:r>
                  <w:r>
                    <w:rPr>
                      <w:rFonts w:hint="eastAsia"/>
                      <w:color w:val="auto"/>
                    </w:rPr>
                    <w:t>。</w:t>
                  </w:r>
                </w:p>
              </w:tc>
              <w:tc>
                <w:tcPr>
                  <w:tcW w:w="832" w:type="dxa"/>
                  <w:tcBorders>
                    <w:tl2br w:val="nil"/>
                    <w:tr2bl w:val="nil"/>
                  </w:tcBorders>
                  <w:vAlign w:val="center"/>
                </w:tcPr>
                <w:p w14:paraId="5A38F129">
                  <w:pPr>
                    <w:pStyle w:val="16"/>
                    <w:jc w:val="center"/>
                    <w:rPr>
                      <w:color w:val="auto"/>
                    </w:rPr>
                  </w:pPr>
                  <w:r>
                    <w:rPr>
                      <w:rFonts w:hint="eastAsia"/>
                      <w:color w:val="auto"/>
                    </w:rPr>
                    <w:t>符合</w:t>
                  </w:r>
                </w:p>
              </w:tc>
            </w:tr>
            <w:tr w14:paraId="2DDB8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2208012">
                  <w:pPr>
                    <w:pStyle w:val="16"/>
                    <w:jc w:val="center"/>
                    <w:rPr>
                      <w:color w:val="auto"/>
                    </w:rPr>
                  </w:pPr>
                  <w:r>
                    <w:rPr>
                      <w:rFonts w:hint="eastAsia"/>
                      <w:color w:val="auto"/>
                    </w:rPr>
                    <w:t>7</w:t>
                  </w:r>
                </w:p>
              </w:tc>
              <w:tc>
                <w:tcPr>
                  <w:tcW w:w="2587" w:type="dxa"/>
                  <w:tcBorders>
                    <w:tl2br w:val="nil"/>
                    <w:tr2bl w:val="nil"/>
                  </w:tcBorders>
                  <w:vAlign w:val="center"/>
                </w:tcPr>
                <w:p w14:paraId="63DE221B">
                  <w:pPr>
                    <w:pStyle w:val="16"/>
                    <w:rPr>
                      <w:color w:val="auto"/>
                    </w:rPr>
                  </w:pPr>
                  <w:r>
                    <w:rPr>
                      <w:color w:val="auto"/>
                    </w:rPr>
                    <w:t>项目对鱼类等水生生物的生境、物种多样性及资源量等造成不利影响的，提出了优化工程设计及调度、栖息地保护、水生生物通道恢复、增殖放流、拦鱼等措施。栖息地保护措施包括干（支）流生境保留、生境修复（或重建）等，采用生境保留的应明确河段范围及保护措施。水生生物通道恢复措施包括鱼道、升鱼机、集运鱼系统等，在必要的水工模型试验基础上，明确了过鱼对象、主要参数、运行要求等，且满足可研阶段设计深度要求。鱼类增殖放流措施应明确增殖站地点、增殖放流对象、放流规模、放流地点等。</w:t>
                  </w:r>
                </w:p>
              </w:tc>
              <w:tc>
                <w:tcPr>
                  <w:tcW w:w="3526" w:type="dxa"/>
                  <w:tcBorders>
                    <w:tl2br w:val="nil"/>
                    <w:tr2bl w:val="nil"/>
                  </w:tcBorders>
                  <w:vAlign w:val="center"/>
                </w:tcPr>
                <w:p w14:paraId="5BCF517B">
                  <w:pPr>
                    <w:pStyle w:val="16"/>
                    <w:rPr>
                      <w:color w:val="auto"/>
                    </w:rPr>
                  </w:pPr>
                  <w:r>
                    <w:rPr>
                      <w:rFonts w:hint="eastAsia"/>
                      <w:color w:val="auto"/>
                    </w:rPr>
                    <w:t>本项目利用已建水库，无涉水施工，运行对水库及通江受水区的水文情势影响程度很小，不会对</w:t>
                  </w:r>
                  <w:r>
                    <w:rPr>
                      <w:color w:val="auto"/>
                    </w:rPr>
                    <w:t>鱼类等水生生物的生境、物种多样性及资源量</w:t>
                  </w:r>
                  <w:r>
                    <w:rPr>
                      <w:rFonts w:hint="eastAsia"/>
                      <w:color w:val="auto"/>
                    </w:rPr>
                    <w:t>等的</w:t>
                  </w:r>
                  <w:r>
                    <w:rPr>
                      <w:color w:val="auto"/>
                    </w:rPr>
                    <w:t>影响</w:t>
                  </w:r>
                  <w:r>
                    <w:rPr>
                      <w:rFonts w:hint="eastAsia"/>
                      <w:color w:val="auto"/>
                    </w:rPr>
                    <w:t>很小。</w:t>
                  </w:r>
                </w:p>
              </w:tc>
              <w:tc>
                <w:tcPr>
                  <w:tcW w:w="832" w:type="dxa"/>
                  <w:tcBorders>
                    <w:tl2br w:val="nil"/>
                    <w:tr2bl w:val="nil"/>
                  </w:tcBorders>
                  <w:vAlign w:val="center"/>
                </w:tcPr>
                <w:p w14:paraId="3B75B633">
                  <w:pPr>
                    <w:pStyle w:val="16"/>
                    <w:jc w:val="center"/>
                    <w:rPr>
                      <w:color w:val="auto"/>
                    </w:rPr>
                  </w:pPr>
                  <w:r>
                    <w:rPr>
                      <w:rFonts w:hint="eastAsia"/>
                      <w:color w:val="auto"/>
                    </w:rPr>
                    <w:t>符合</w:t>
                  </w:r>
                </w:p>
              </w:tc>
            </w:tr>
            <w:tr w14:paraId="08276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59B7BA19">
                  <w:pPr>
                    <w:pStyle w:val="16"/>
                    <w:jc w:val="center"/>
                    <w:rPr>
                      <w:color w:val="auto"/>
                    </w:rPr>
                  </w:pPr>
                  <w:r>
                    <w:rPr>
                      <w:rFonts w:hint="eastAsia"/>
                      <w:color w:val="auto"/>
                    </w:rPr>
                    <w:t>8</w:t>
                  </w:r>
                </w:p>
              </w:tc>
              <w:tc>
                <w:tcPr>
                  <w:tcW w:w="2587" w:type="dxa"/>
                  <w:tcBorders>
                    <w:tl2br w:val="nil"/>
                    <w:tr2bl w:val="nil"/>
                  </w:tcBorders>
                  <w:vAlign w:val="center"/>
                </w:tcPr>
                <w:p w14:paraId="786B490A">
                  <w:pPr>
                    <w:pStyle w:val="16"/>
                    <w:rPr>
                      <w:color w:val="auto"/>
                    </w:rPr>
                  </w:pPr>
                  <w:r>
                    <w:rPr>
                      <w:color w:val="auto"/>
                    </w:rPr>
                    <w:t>项目对珍稀濒危和重点保护野生动、植物及其生境造成影响的，提出了优化工程布置和调度运行方案、合理安排工期、应急救护、建设或保留动物通道、移栽、就地保护或再造类似生境等避让、减缓和补偿措施。项目涉及风景名胜区等环境敏感区并对景观产生影响的，提出了工程方案优化、景观塑造等措施。</w:t>
                  </w:r>
                </w:p>
              </w:tc>
              <w:tc>
                <w:tcPr>
                  <w:tcW w:w="3526" w:type="dxa"/>
                  <w:tcBorders>
                    <w:tl2br w:val="nil"/>
                    <w:tr2bl w:val="nil"/>
                  </w:tcBorders>
                  <w:vAlign w:val="center"/>
                </w:tcPr>
                <w:p w14:paraId="46DDFD6B">
                  <w:pPr>
                    <w:pStyle w:val="16"/>
                    <w:rPr>
                      <w:color w:val="auto"/>
                    </w:rPr>
                  </w:pPr>
                  <w:r>
                    <w:rPr>
                      <w:rFonts w:hint="eastAsia"/>
                      <w:color w:val="auto"/>
                    </w:rPr>
                    <w:t>项目占地范围内未发现</w:t>
                  </w:r>
                  <w:r>
                    <w:rPr>
                      <w:color w:val="auto"/>
                    </w:rPr>
                    <w:t>珍稀濒危和重点保护野生动植物</w:t>
                  </w:r>
                  <w:r>
                    <w:rPr>
                      <w:rFonts w:hint="eastAsia"/>
                      <w:color w:val="auto"/>
                    </w:rPr>
                    <w:t>，不会对</w:t>
                  </w:r>
                  <w:r>
                    <w:rPr>
                      <w:color w:val="auto"/>
                    </w:rPr>
                    <w:t>珍稀濒危和重点保护野生动植物造成影响</w:t>
                  </w:r>
                  <w:r>
                    <w:rPr>
                      <w:rFonts w:hint="eastAsia"/>
                      <w:color w:val="auto"/>
                    </w:rPr>
                    <w:t>；项目不涉及</w:t>
                  </w:r>
                  <w:r>
                    <w:rPr>
                      <w:color w:val="auto"/>
                    </w:rPr>
                    <w:t>风景名胜区等环境敏感区</w:t>
                  </w:r>
                  <w:r>
                    <w:rPr>
                      <w:rFonts w:hint="eastAsia"/>
                      <w:color w:val="auto"/>
                    </w:rPr>
                    <w:t>。</w:t>
                  </w:r>
                </w:p>
              </w:tc>
              <w:tc>
                <w:tcPr>
                  <w:tcW w:w="832" w:type="dxa"/>
                  <w:tcBorders>
                    <w:tl2br w:val="nil"/>
                    <w:tr2bl w:val="nil"/>
                  </w:tcBorders>
                  <w:vAlign w:val="center"/>
                </w:tcPr>
                <w:p w14:paraId="4D4FC438">
                  <w:pPr>
                    <w:pStyle w:val="16"/>
                    <w:jc w:val="center"/>
                    <w:rPr>
                      <w:color w:val="auto"/>
                    </w:rPr>
                  </w:pPr>
                  <w:r>
                    <w:rPr>
                      <w:rFonts w:hint="eastAsia"/>
                      <w:color w:val="auto"/>
                    </w:rPr>
                    <w:t>符合</w:t>
                  </w:r>
                </w:p>
              </w:tc>
            </w:tr>
            <w:tr w14:paraId="5794B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6A297FB4">
                  <w:pPr>
                    <w:pStyle w:val="16"/>
                    <w:jc w:val="center"/>
                    <w:rPr>
                      <w:color w:val="auto"/>
                    </w:rPr>
                  </w:pPr>
                  <w:r>
                    <w:rPr>
                      <w:rFonts w:hint="eastAsia"/>
                      <w:color w:val="auto"/>
                    </w:rPr>
                    <w:t>9</w:t>
                  </w:r>
                </w:p>
              </w:tc>
              <w:tc>
                <w:tcPr>
                  <w:tcW w:w="2587" w:type="dxa"/>
                  <w:tcBorders>
                    <w:tl2br w:val="nil"/>
                    <w:tr2bl w:val="nil"/>
                  </w:tcBorders>
                  <w:vAlign w:val="center"/>
                </w:tcPr>
                <w:p w14:paraId="551511E1">
                  <w:pPr>
                    <w:pStyle w:val="16"/>
                    <w:rPr>
                      <w:color w:val="auto"/>
                    </w:rPr>
                  </w:pPr>
                  <w:r>
                    <w:rPr>
                      <w:color w:val="auto"/>
                    </w:rPr>
                    <w:t>项目施工组织方案具有环境合理性，对料场、弃土（渣）场等施工场地提出了水土流失防治和施工迹地生态恢复等措施。根据环境保护相关标准和要求，对施工期各类废（污）水、废气、噪声、固体废物等提出防治或处置措施。</w:t>
                  </w:r>
                </w:p>
              </w:tc>
              <w:tc>
                <w:tcPr>
                  <w:tcW w:w="3526" w:type="dxa"/>
                  <w:tcBorders>
                    <w:tl2br w:val="nil"/>
                    <w:tr2bl w:val="nil"/>
                  </w:tcBorders>
                  <w:vAlign w:val="center"/>
                </w:tcPr>
                <w:p w14:paraId="245BB763">
                  <w:pPr>
                    <w:pStyle w:val="16"/>
                    <w:rPr>
                      <w:color w:val="auto"/>
                    </w:rPr>
                  </w:pPr>
                  <w:r>
                    <w:rPr>
                      <w:rFonts w:hint="eastAsia"/>
                      <w:color w:val="auto"/>
                    </w:rPr>
                    <w:t>本项目已对</w:t>
                  </w:r>
                  <w:r>
                    <w:rPr>
                      <w:color w:val="auto"/>
                    </w:rPr>
                    <w:t>施工场地提出了水土流失防治和施工迹地生态恢复等措施</w:t>
                  </w:r>
                  <w:r>
                    <w:rPr>
                      <w:rFonts w:hint="eastAsia"/>
                      <w:color w:val="auto"/>
                    </w:rPr>
                    <w:t>，并提出相应的</w:t>
                  </w:r>
                  <w:r>
                    <w:rPr>
                      <w:color w:val="auto"/>
                    </w:rPr>
                    <w:t>废（污）水、废气、噪声、固体废物</w:t>
                  </w:r>
                  <w:r>
                    <w:rPr>
                      <w:rFonts w:hint="eastAsia"/>
                      <w:color w:val="auto"/>
                    </w:rPr>
                    <w:t>治理或处置措施，“三废一噪”均能得到合理处置，不会造成污染。</w:t>
                  </w:r>
                </w:p>
              </w:tc>
              <w:tc>
                <w:tcPr>
                  <w:tcW w:w="832" w:type="dxa"/>
                  <w:tcBorders>
                    <w:tl2br w:val="nil"/>
                    <w:tr2bl w:val="nil"/>
                  </w:tcBorders>
                  <w:vAlign w:val="center"/>
                </w:tcPr>
                <w:p w14:paraId="6D9711DA">
                  <w:pPr>
                    <w:pStyle w:val="16"/>
                    <w:jc w:val="center"/>
                    <w:rPr>
                      <w:color w:val="auto"/>
                    </w:rPr>
                  </w:pPr>
                  <w:r>
                    <w:rPr>
                      <w:rFonts w:hint="eastAsia"/>
                      <w:color w:val="auto"/>
                    </w:rPr>
                    <w:t>符合</w:t>
                  </w:r>
                </w:p>
              </w:tc>
            </w:tr>
            <w:tr w14:paraId="062E6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0039811B">
                  <w:pPr>
                    <w:pStyle w:val="16"/>
                    <w:jc w:val="center"/>
                    <w:rPr>
                      <w:color w:val="auto"/>
                    </w:rPr>
                  </w:pPr>
                  <w:r>
                    <w:rPr>
                      <w:rFonts w:hint="eastAsia"/>
                      <w:color w:val="auto"/>
                    </w:rPr>
                    <w:t>10</w:t>
                  </w:r>
                </w:p>
              </w:tc>
              <w:tc>
                <w:tcPr>
                  <w:tcW w:w="2587" w:type="dxa"/>
                  <w:tcBorders>
                    <w:tl2br w:val="nil"/>
                    <w:tr2bl w:val="nil"/>
                  </w:tcBorders>
                  <w:vAlign w:val="center"/>
                </w:tcPr>
                <w:p w14:paraId="391A8DF9">
                  <w:pPr>
                    <w:pStyle w:val="16"/>
                    <w:rPr>
                      <w:color w:val="auto"/>
                    </w:rPr>
                  </w:pPr>
                  <w:r>
                    <w:rPr>
                      <w:color w:val="auto"/>
                    </w:rPr>
                    <w:t>项目移民安置涉及的农业土地开垦、移民安置区建设、企业迁建、专业项目改复建工程等，其建设方式和选址具有环境合理性，对环境造成不利影响的，提出了生态保护、污水处理与垃圾处置等措施。针对城（集）镇迁建及配套的重大环保基础设施建设、重要交通和水利工程改复建、污染型企业迁建等重大移民安置专项工程，依法提出了单独开展环境影响评价要求。</w:t>
                  </w:r>
                </w:p>
              </w:tc>
              <w:tc>
                <w:tcPr>
                  <w:tcW w:w="3526" w:type="dxa"/>
                  <w:tcBorders>
                    <w:tl2br w:val="nil"/>
                    <w:tr2bl w:val="nil"/>
                  </w:tcBorders>
                  <w:vAlign w:val="center"/>
                </w:tcPr>
                <w:p w14:paraId="4AC566E5">
                  <w:pPr>
                    <w:pStyle w:val="16"/>
                    <w:rPr>
                      <w:color w:val="auto"/>
                    </w:rPr>
                  </w:pPr>
                  <w:r>
                    <w:rPr>
                      <w:rFonts w:hint="eastAsia"/>
                      <w:color w:val="auto"/>
                    </w:rPr>
                    <w:t>本项目不涉及移民安置。</w:t>
                  </w:r>
                </w:p>
              </w:tc>
              <w:tc>
                <w:tcPr>
                  <w:tcW w:w="832" w:type="dxa"/>
                  <w:tcBorders>
                    <w:tl2br w:val="nil"/>
                    <w:tr2bl w:val="nil"/>
                  </w:tcBorders>
                  <w:vAlign w:val="center"/>
                </w:tcPr>
                <w:p w14:paraId="12093477">
                  <w:pPr>
                    <w:pStyle w:val="16"/>
                    <w:jc w:val="center"/>
                    <w:rPr>
                      <w:color w:val="auto"/>
                    </w:rPr>
                  </w:pPr>
                  <w:r>
                    <w:rPr>
                      <w:rFonts w:hint="eastAsia"/>
                      <w:color w:val="auto"/>
                    </w:rPr>
                    <w:t>符合</w:t>
                  </w:r>
                </w:p>
              </w:tc>
            </w:tr>
            <w:tr w14:paraId="1A4C1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C5E00D3">
                  <w:pPr>
                    <w:pStyle w:val="16"/>
                    <w:jc w:val="center"/>
                    <w:rPr>
                      <w:color w:val="auto"/>
                    </w:rPr>
                  </w:pPr>
                  <w:r>
                    <w:rPr>
                      <w:rFonts w:hint="eastAsia"/>
                      <w:color w:val="auto"/>
                    </w:rPr>
                    <w:t>11</w:t>
                  </w:r>
                </w:p>
              </w:tc>
              <w:tc>
                <w:tcPr>
                  <w:tcW w:w="2587" w:type="dxa"/>
                  <w:tcBorders>
                    <w:tl2br w:val="nil"/>
                    <w:tr2bl w:val="nil"/>
                  </w:tcBorders>
                  <w:vAlign w:val="center"/>
                </w:tcPr>
                <w:p w14:paraId="7D527C62">
                  <w:pPr>
                    <w:pStyle w:val="16"/>
                    <w:rPr>
                      <w:color w:val="auto"/>
                    </w:rPr>
                  </w:pPr>
                  <w:r>
                    <w:rPr>
                      <w:color w:val="auto"/>
                    </w:rPr>
                    <w:t>项目存在水污染、富营养化或外来物种入侵等环境风险的，提出了针对性风险防范措施和环境应急预案编制、与地方人民政府及其相关部门和受影响单位建立应急联动机制的要求。</w:t>
                  </w:r>
                </w:p>
              </w:tc>
              <w:tc>
                <w:tcPr>
                  <w:tcW w:w="3526" w:type="dxa"/>
                  <w:tcBorders>
                    <w:tl2br w:val="nil"/>
                    <w:tr2bl w:val="nil"/>
                  </w:tcBorders>
                  <w:vAlign w:val="center"/>
                </w:tcPr>
                <w:p w14:paraId="607AC4B8">
                  <w:pPr>
                    <w:pStyle w:val="16"/>
                    <w:rPr>
                      <w:color w:val="auto"/>
                    </w:rPr>
                  </w:pPr>
                  <w:r>
                    <w:rPr>
                      <w:rFonts w:hint="eastAsia"/>
                      <w:color w:val="auto"/>
                    </w:rPr>
                    <w:t>本项目已提出</w:t>
                  </w:r>
                  <w:r>
                    <w:rPr>
                      <w:color w:val="auto"/>
                    </w:rPr>
                    <w:t>水污染、外来物种入侵等环境风险防范措施</w:t>
                  </w:r>
                  <w:r>
                    <w:rPr>
                      <w:rFonts w:hint="eastAsia"/>
                      <w:color w:val="auto"/>
                    </w:rPr>
                    <w:t>，环评要求本项目应在本项目取得环评批复后及时编制本项目突发环境事件应急预案并与</w:t>
                  </w:r>
                  <w:r>
                    <w:rPr>
                      <w:color w:val="auto"/>
                    </w:rPr>
                    <w:t>地方人民政府及其相关部门和受影响单位建立应急联动机制</w:t>
                  </w:r>
                  <w:r>
                    <w:rPr>
                      <w:rFonts w:hint="eastAsia"/>
                      <w:color w:val="auto"/>
                    </w:rPr>
                    <w:t>。</w:t>
                  </w:r>
                </w:p>
              </w:tc>
              <w:tc>
                <w:tcPr>
                  <w:tcW w:w="832" w:type="dxa"/>
                  <w:tcBorders>
                    <w:tl2br w:val="nil"/>
                    <w:tr2bl w:val="nil"/>
                  </w:tcBorders>
                  <w:vAlign w:val="center"/>
                </w:tcPr>
                <w:p w14:paraId="60D9B044">
                  <w:pPr>
                    <w:pStyle w:val="16"/>
                    <w:jc w:val="center"/>
                    <w:rPr>
                      <w:color w:val="auto"/>
                    </w:rPr>
                  </w:pPr>
                  <w:r>
                    <w:rPr>
                      <w:rFonts w:hint="eastAsia"/>
                      <w:color w:val="auto"/>
                    </w:rPr>
                    <w:t>符合</w:t>
                  </w:r>
                </w:p>
              </w:tc>
            </w:tr>
            <w:tr w14:paraId="636909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31BF288">
                  <w:pPr>
                    <w:pStyle w:val="16"/>
                    <w:jc w:val="center"/>
                    <w:rPr>
                      <w:color w:val="auto"/>
                    </w:rPr>
                  </w:pPr>
                  <w:r>
                    <w:rPr>
                      <w:rFonts w:hint="eastAsia"/>
                      <w:color w:val="auto"/>
                    </w:rPr>
                    <w:t>13</w:t>
                  </w:r>
                </w:p>
              </w:tc>
              <w:tc>
                <w:tcPr>
                  <w:tcW w:w="2587" w:type="dxa"/>
                  <w:tcBorders>
                    <w:tl2br w:val="nil"/>
                    <w:tr2bl w:val="nil"/>
                  </w:tcBorders>
                  <w:vAlign w:val="center"/>
                </w:tcPr>
                <w:p w14:paraId="12344132">
                  <w:pPr>
                    <w:pStyle w:val="16"/>
                    <w:rPr>
                      <w:color w:val="auto"/>
                    </w:rPr>
                  </w:pPr>
                  <w:r>
                    <w:rPr>
                      <w:color w:val="auto"/>
                    </w:rPr>
                    <w:t>改、扩建项目应在全面梳理与项目有关的现有工程环境问题基础上，提出了“以新带老”措施。</w:t>
                  </w:r>
                </w:p>
              </w:tc>
              <w:tc>
                <w:tcPr>
                  <w:tcW w:w="3526" w:type="dxa"/>
                  <w:tcBorders>
                    <w:tl2br w:val="nil"/>
                    <w:tr2bl w:val="nil"/>
                  </w:tcBorders>
                  <w:vAlign w:val="center"/>
                </w:tcPr>
                <w:p w14:paraId="79B5E351">
                  <w:pPr>
                    <w:pStyle w:val="16"/>
                    <w:rPr>
                      <w:color w:val="auto"/>
                    </w:rPr>
                  </w:pPr>
                  <w:r>
                    <w:rPr>
                      <w:rFonts w:hint="eastAsia"/>
                      <w:color w:val="auto"/>
                    </w:rPr>
                    <w:t>本项目不属于</w:t>
                  </w:r>
                  <w:r>
                    <w:rPr>
                      <w:color w:val="auto"/>
                    </w:rPr>
                    <w:t>改、扩建项目</w:t>
                  </w:r>
                  <w:r>
                    <w:rPr>
                      <w:rFonts w:hint="eastAsia"/>
                      <w:color w:val="auto"/>
                    </w:rPr>
                    <w:t>。</w:t>
                  </w:r>
                </w:p>
              </w:tc>
              <w:tc>
                <w:tcPr>
                  <w:tcW w:w="832" w:type="dxa"/>
                  <w:tcBorders>
                    <w:tl2br w:val="nil"/>
                    <w:tr2bl w:val="nil"/>
                  </w:tcBorders>
                  <w:vAlign w:val="center"/>
                </w:tcPr>
                <w:p w14:paraId="51DE978E">
                  <w:pPr>
                    <w:pStyle w:val="16"/>
                    <w:jc w:val="center"/>
                    <w:rPr>
                      <w:color w:val="auto"/>
                    </w:rPr>
                  </w:pPr>
                  <w:r>
                    <w:rPr>
                      <w:rFonts w:hint="eastAsia"/>
                      <w:color w:val="auto"/>
                    </w:rPr>
                    <w:t>符合</w:t>
                  </w:r>
                </w:p>
              </w:tc>
            </w:tr>
            <w:tr w14:paraId="0451B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4FA29C82">
                  <w:pPr>
                    <w:pStyle w:val="16"/>
                    <w:jc w:val="center"/>
                    <w:rPr>
                      <w:color w:val="auto"/>
                    </w:rPr>
                  </w:pPr>
                  <w:r>
                    <w:rPr>
                      <w:rFonts w:hint="eastAsia"/>
                      <w:color w:val="auto"/>
                    </w:rPr>
                    <w:t>14</w:t>
                  </w:r>
                </w:p>
              </w:tc>
              <w:tc>
                <w:tcPr>
                  <w:tcW w:w="2587" w:type="dxa"/>
                  <w:tcBorders>
                    <w:tl2br w:val="nil"/>
                    <w:tr2bl w:val="nil"/>
                  </w:tcBorders>
                  <w:vAlign w:val="center"/>
                </w:tcPr>
                <w:p w14:paraId="2C5B0437">
                  <w:pPr>
                    <w:pStyle w:val="16"/>
                    <w:rPr>
                      <w:color w:val="auto"/>
                    </w:rPr>
                  </w:pPr>
                  <w:r>
                    <w:rPr>
                      <w:color w:val="auto"/>
                    </w:rPr>
                    <w:t>按相关导则及规定要求，制定了水环境、生态、土壤、大气、噪声等环境监测计划，明确了监测网点、因子、频次等有关要求，提出了根据监测评估结果开展环境影响后评价或优化环境保护措施的要求。根据需要和相关规定，提出了环境保护设计、环境监理、开展科学研究等环境管理要求和相关保障措施。</w:t>
                  </w:r>
                </w:p>
              </w:tc>
              <w:tc>
                <w:tcPr>
                  <w:tcW w:w="3526" w:type="dxa"/>
                  <w:tcBorders>
                    <w:tl2br w:val="nil"/>
                    <w:tr2bl w:val="nil"/>
                  </w:tcBorders>
                  <w:vAlign w:val="center"/>
                </w:tcPr>
                <w:p w14:paraId="3ABD756B">
                  <w:pPr>
                    <w:pStyle w:val="16"/>
                    <w:rPr>
                      <w:color w:val="auto"/>
                    </w:rPr>
                  </w:pPr>
                  <w:r>
                    <w:rPr>
                      <w:rFonts w:hint="eastAsia"/>
                      <w:color w:val="auto"/>
                    </w:rPr>
                    <w:t>本项目已按相关导则</w:t>
                  </w:r>
                  <w:r>
                    <w:rPr>
                      <w:color w:val="auto"/>
                    </w:rPr>
                    <w:t>及规定要求，</w:t>
                  </w:r>
                  <w:r>
                    <w:rPr>
                      <w:rFonts w:hint="eastAsia"/>
                      <w:color w:val="auto"/>
                    </w:rPr>
                    <w:t>制定了监测计划，详见第5章。</w:t>
                  </w:r>
                </w:p>
              </w:tc>
              <w:tc>
                <w:tcPr>
                  <w:tcW w:w="832" w:type="dxa"/>
                  <w:tcBorders>
                    <w:tl2br w:val="nil"/>
                    <w:tr2bl w:val="nil"/>
                  </w:tcBorders>
                  <w:vAlign w:val="center"/>
                </w:tcPr>
                <w:p w14:paraId="114E4FA2">
                  <w:pPr>
                    <w:pStyle w:val="16"/>
                    <w:jc w:val="center"/>
                    <w:rPr>
                      <w:color w:val="auto"/>
                    </w:rPr>
                  </w:pPr>
                  <w:r>
                    <w:rPr>
                      <w:rFonts w:hint="eastAsia"/>
                      <w:color w:val="auto"/>
                    </w:rPr>
                    <w:t>符合</w:t>
                  </w:r>
                </w:p>
              </w:tc>
            </w:tr>
            <w:tr w14:paraId="09537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4D115A13">
                  <w:pPr>
                    <w:pStyle w:val="16"/>
                    <w:jc w:val="center"/>
                    <w:rPr>
                      <w:color w:val="auto"/>
                    </w:rPr>
                  </w:pPr>
                  <w:r>
                    <w:rPr>
                      <w:rFonts w:hint="eastAsia"/>
                      <w:color w:val="auto"/>
                    </w:rPr>
                    <w:t>15</w:t>
                  </w:r>
                </w:p>
              </w:tc>
              <w:tc>
                <w:tcPr>
                  <w:tcW w:w="2587" w:type="dxa"/>
                  <w:tcBorders>
                    <w:tl2br w:val="nil"/>
                    <w:tr2bl w:val="nil"/>
                  </w:tcBorders>
                  <w:vAlign w:val="center"/>
                </w:tcPr>
                <w:p w14:paraId="2DB967D1">
                  <w:pPr>
                    <w:pStyle w:val="16"/>
                    <w:rPr>
                      <w:color w:val="auto"/>
                    </w:rPr>
                  </w:pPr>
                  <w:r>
                    <w:rPr>
                      <w:color w:val="auto"/>
                    </w:rPr>
                    <w:t>对环境保护措施进行了深入论证，具有明确的责任主体、投资、时间节点和预期效果等，确保科学有效、安全可行、绿色协调。</w:t>
                  </w:r>
                </w:p>
              </w:tc>
              <w:tc>
                <w:tcPr>
                  <w:tcW w:w="3526" w:type="dxa"/>
                  <w:tcBorders>
                    <w:tl2br w:val="nil"/>
                    <w:tr2bl w:val="nil"/>
                  </w:tcBorders>
                  <w:vAlign w:val="center"/>
                </w:tcPr>
                <w:p w14:paraId="3CD07965">
                  <w:pPr>
                    <w:pStyle w:val="16"/>
                    <w:rPr>
                      <w:color w:val="auto"/>
                    </w:rPr>
                  </w:pPr>
                  <w:r>
                    <w:rPr>
                      <w:rFonts w:hint="eastAsia"/>
                      <w:color w:val="auto"/>
                    </w:rPr>
                    <w:t>本项目</w:t>
                  </w:r>
                  <w:r>
                    <w:rPr>
                      <w:color w:val="auto"/>
                    </w:rPr>
                    <w:t>具有明确的责任主体、投资、时间节点和预期效果等，确保科学有效、安全可行、绿色协调。</w:t>
                  </w:r>
                </w:p>
              </w:tc>
              <w:tc>
                <w:tcPr>
                  <w:tcW w:w="832" w:type="dxa"/>
                  <w:tcBorders>
                    <w:tl2br w:val="nil"/>
                    <w:tr2bl w:val="nil"/>
                  </w:tcBorders>
                  <w:vAlign w:val="center"/>
                </w:tcPr>
                <w:p w14:paraId="24CDE193">
                  <w:pPr>
                    <w:pStyle w:val="16"/>
                    <w:jc w:val="center"/>
                    <w:rPr>
                      <w:color w:val="auto"/>
                    </w:rPr>
                  </w:pPr>
                  <w:r>
                    <w:rPr>
                      <w:rFonts w:hint="eastAsia"/>
                      <w:color w:val="auto"/>
                    </w:rPr>
                    <w:t>符合</w:t>
                  </w:r>
                </w:p>
              </w:tc>
            </w:tr>
            <w:tr w14:paraId="0B923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62BA7DF1">
                  <w:pPr>
                    <w:pStyle w:val="16"/>
                    <w:jc w:val="center"/>
                    <w:rPr>
                      <w:color w:val="auto"/>
                    </w:rPr>
                  </w:pPr>
                  <w:r>
                    <w:rPr>
                      <w:rFonts w:hint="eastAsia"/>
                      <w:color w:val="auto"/>
                    </w:rPr>
                    <w:t>16</w:t>
                  </w:r>
                </w:p>
              </w:tc>
              <w:tc>
                <w:tcPr>
                  <w:tcW w:w="2587" w:type="dxa"/>
                  <w:tcBorders>
                    <w:tl2br w:val="nil"/>
                    <w:tr2bl w:val="nil"/>
                  </w:tcBorders>
                  <w:vAlign w:val="center"/>
                </w:tcPr>
                <w:p w14:paraId="277E7812">
                  <w:pPr>
                    <w:pStyle w:val="16"/>
                    <w:rPr>
                      <w:color w:val="auto"/>
                    </w:rPr>
                  </w:pPr>
                  <w:r>
                    <w:rPr>
                      <w:color w:val="auto"/>
                    </w:rPr>
                    <w:t>按相关规定开展了信息公开和公众参与。</w:t>
                  </w:r>
                </w:p>
              </w:tc>
              <w:tc>
                <w:tcPr>
                  <w:tcW w:w="3526" w:type="dxa"/>
                  <w:tcBorders>
                    <w:tl2br w:val="nil"/>
                    <w:tr2bl w:val="nil"/>
                  </w:tcBorders>
                  <w:vAlign w:val="center"/>
                </w:tcPr>
                <w:p w14:paraId="39D10522">
                  <w:pPr>
                    <w:pStyle w:val="16"/>
                    <w:rPr>
                      <w:color w:val="auto"/>
                    </w:rPr>
                  </w:pPr>
                  <w:r>
                    <w:rPr>
                      <w:rFonts w:hint="eastAsia"/>
                      <w:color w:val="auto"/>
                    </w:rPr>
                    <w:t>本项目为环评报告表，按规定可不开展公众参与，环评报告按要求进行公示。</w:t>
                  </w:r>
                </w:p>
              </w:tc>
              <w:tc>
                <w:tcPr>
                  <w:tcW w:w="832" w:type="dxa"/>
                  <w:tcBorders>
                    <w:tl2br w:val="nil"/>
                    <w:tr2bl w:val="nil"/>
                  </w:tcBorders>
                  <w:vAlign w:val="center"/>
                </w:tcPr>
                <w:p w14:paraId="22BEC4D7">
                  <w:pPr>
                    <w:pStyle w:val="16"/>
                    <w:jc w:val="center"/>
                    <w:rPr>
                      <w:color w:val="auto"/>
                    </w:rPr>
                  </w:pPr>
                  <w:r>
                    <w:rPr>
                      <w:rFonts w:hint="eastAsia"/>
                      <w:color w:val="auto"/>
                    </w:rPr>
                    <w:t>符合</w:t>
                  </w:r>
                </w:p>
              </w:tc>
            </w:tr>
            <w:tr w14:paraId="174982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045314F2">
                  <w:pPr>
                    <w:pStyle w:val="16"/>
                    <w:jc w:val="center"/>
                    <w:rPr>
                      <w:color w:val="auto"/>
                    </w:rPr>
                  </w:pPr>
                  <w:r>
                    <w:rPr>
                      <w:rFonts w:hint="eastAsia"/>
                      <w:color w:val="auto"/>
                    </w:rPr>
                    <w:t>17</w:t>
                  </w:r>
                </w:p>
              </w:tc>
              <w:tc>
                <w:tcPr>
                  <w:tcW w:w="2587" w:type="dxa"/>
                  <w:tcBorders>
                    <w:tl2br w:val="nil"/>
                    <w:tr2bl w:val="nil"/>
                  </w:tcBorders>
                  <w:vAlign w:val="center"/>
                </w:tcPr>
                <w:p w14:paraId="02573806">
                  <w:pPr>
                    <w:pStyle w:val="16"/>
                    <w:rPr>
                      <w:color w:val="auto"/>
                    </w:rPr>
                  </w:pPr>
                  <w:r>
                    <w:rPr>
                      <w:color w:val="auto"/>
                    </w:rPr>
                    <w:t>环境影响评价文件编制规范，符合资质管理规定和环评技术标准要求。</w:t>
                  </w:r>
                </w:p>
              </w:tc>
              <w:tc>
                <w:tcPr>
                  <w:tcW w:w="3526" w:type="dxa"/>
                  <w:tcBorders>
                    <w:tl2br w:val="nil"/>
                    <w:tr2bl w:val="nil"/>
                  </w:tcBorders>
                  <w:vAlign w:val="center"/>
                </w:tcPr>
                <w:p w14:paraId="670CE2D1">
                  <w:pPr>
                    <w:pStyle w:val="16"/>
                    <w:rPr>
                      <w:color w:val="auto"/>
                    </w:rPr>
                  </w:pPr>
                  <w:r>
                    <w:rPr>
                      <w:rFonts w:hint="eastAsia"/>
                      <w:color w:val="auto"/>
                    </w:rPr>
                    <w:t>本项目</w:t>
                  </w:r>
                  <w:r>
                    <w:rPr>
                      <w:color w:val="auto"/>
                    </w:rPr>
                    <w:t>环境影响评价文件</w:t>
                  </w:r>
                  <w:r>
                    <w:rPr>
                      <w:rFonts w:hint="eastAsia"/>
                      <w:color w:val="auto"/>
                    </w:rPr>
                    <w:t>严格按照《</w:t>
                  </w:r>
                  <w:r>
                    <w:rPr>
                      <w:color w:val="auto"/>
                    </w:rPr>
                    <w:t>建设项目环境影响报告表编制技术指南（生态影响类）（试行）</w:t>
                  </w:r>
                  <w:r>
                    <w:rPr>
                      <w:rFonts w:hint="eastAsia"/>
                      <w:color w:val="auto"/>
                    </w:rPr>
                    <w:t>》及相关技术导则编制，</w:t>
                  </w:r>
                  <w:r>
                    <w:rPr>
                      <w:color w:val="auto"/>
                    </w:rPr>
                    <w:t>符合资质管理规定和环评技术标准要求。</w:t>
                  </w:r>
                </w:p>
              </w:tc>
              <w:tc>
                <w:tcPr>
                  <w:tcW w:w="832" w:type="dxa"/>
                  <w:tcBorders>
                    <w:tl2br w:val="nil"/>
                    <w:tr2bl w:val="nil"/>
                  </w:tcBorders>
                  <w:vAlign w:val="center"/>
                </w:tcPr>
                <w:p w14:paraId="7466654F">
                  <w:pPr>
                    <w:pStyle w:val="16"/>
                    <w:jc w:val="center"/>
                    <w:rPr>
                      <w:color w:val="auto"/>
                    </w:rPr>
                  </w:pPr>
                  <w:r>
                    <w:rPr>
                      <w:rFonts w:hint="eastAsia"/>
                      <w:color w:val="auto"/>
                    </w:rPr>
                    <w:t>符合</w:t>
                  </w:r>
                </w:p>
              </w:tc>
            </w:tr>
            <w:tr w14:paraId="1B8FE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52CBFDA2">
                  <w:pPr>
                    <w:pStyle w:val="16"/>
                    <w:jc w:val="center"/>
                    <w:rPr>
                      <w:b/>
                      <w:bCs/>
                      <w:color w:val="auto"/>
                    </w:rPr>
                  </w:pPr>
                  <w:r>
                    <w:rPr>
                      <w:rFonts w:hint="eastAsia"/>
                      <w:b/>
                      <w:bCs/>
                      <w:color w:val="auto"/>
                    </w:rPr>
                    <w:t>二</w:t>
                  </w:r>
                </w:p>
              </w:tc>
              <w:tc>
                <w:tcPr>
                  <w:tcW w:w="6945" w:type="dxa"/>
                  <w:gridSpan w:val="3"/>
                  <w:tcBorders>
                    <w:tl2br w:val="nil"/>
                    <w:tr2bl w:val="nil"/>
                  </w:tcBorders>
                  <w:vAlign w:val="center"/>
                </w:tcPr>
                <w:p w14:paraId="69090EF6">
                  <w:pPr>
                    <w:pStyle w:val="16"/>
                    <w:jc w:val="center"/>
                    <w:rPr>
                      <w:b/>
                      <w:bCs/>
                      <w:color w:val="auto"/>
                    </w:rPr>
                  </w:pPr>
                  <w:r>
                    <w:rPr>
                      <w:rFonts w:hint="eastAsia"/>
                      <w:b/>
                      <w:bCs/>
                      <w:color w:val="auto"/>
                    </w:rPr>
                    <w:t>水利建设项目（灌区工程）环境影响评价文件审批原则（试行）</w:t>
                  </w:r>
                </w:p>
              </w:tc>
            </w:tr>
            <w:tr w14:paraId="10EA3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2CCA9662">
                  <w:pPr>
                    <w:pStyle w:val="16"/>
                    <w:jc w:val="center"/>
                    <w:rPr>
                      <w:color w:val="auto"/>
                    </w:rPr>
                  </w:pPr>
                  <w:r>
                    <w:rPr>
                      <w:rFonts w:hint="eastAsia"/>
                      <w:color w:val="auto"/>
                    </w:rPr>
                    <w:t>1</w:t>
                  </w:r>
                </w:p>
              </w:tc>
              <w:tc>
                <w:tcPr>
                  <w:tcW w:w="2587" w:type="dxa"/>
                  <w:tcBorders>
                    <w:tl2br w:val="nil"/>
                    <w:tr2bl w:val="nil"/>
                  </w:tcBorders>
                  <w:vAlign w:val="center"/>
                </w:tcPr>
                <w:p w14:paraId="00BD24D2">
                  <w:pPr>
                    <w:pStyle w:val="16"/>
                    <w:rPr>
                      <w:color w:val="auto"/>
                    </w:rPr>
                  </w:pPr>
                  <w:r>
                    <w:rPr>
                      <w:color w:val="auto"/>
                    </w:rPr>
                    <w:t>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w:t>
                  </w:r>
                </w:p>
                <w:p w14:paraId="72F8062A">
                  <w:pPr>
                    <w:pStyle w:val="16"/>
                    <w:rPr>
                      <w:color w:val="auto"/>
                    </w:rPr>
                  </w:pPr>
                  <w:r>
                    <w:rPr>
                      <w:color w:val="auto"/>
                    </w:rPr>
                    <w:t>项目水资源开发利用符合以水定产、以水定地原则，未超出流域区域水资源利用上限，灌溉定额、灌溉用水保证率、灌溉水有效利用系数满足流域区域用水效率控制要求。</w:t>
                  </w:r>
                </w:p>
              </w:tc>
              <w:tc>
                <w:tcPr>
                  <w:tcW w:w="3526" w:type="dxa"/>
                  <w:tcBorders>
                    <w:tl2br w:val="nil"/>
                    <w:tr2bl w:val="nil"/>
                  </w:tcBorders>
                  <w:vAlign w:val="center"/>
                </w:tcPr>
                <w:p w14:paraId="30116DEC">
                  <w:pPr>
                    <w:pStyle w:val="16"/>
                    <w:rPr>
                      <w:color w:val="auto"/>
                    </w:rPr>
                  </w:pPr>
                  <w:r>
                    <w:rPr>
                      <w:rFonts w:hint="eastAsia"/>
                      <w:color w:val="auto"/>
                    </w:rPr>
                    <w:t>通江县铁佛镇移民安置区饮水管网及灌溉水利设施建设工程建成后，可</w:t>
                  </w:r>
                  <w:r>
                    <w:rPr>
                      <w:color w:val="auto"/>
                    </w:rPr>
                    <w:t>改善流里河水库片区和澌溪沟水库片区总灌溉面积1.13万亩，建成后灌溉水利用系数达到0.855</w:t>
                  </w:r>
                  <w:r>
                    <w:rPr>
                      <w:rFonts w:hint="eastAsia"/>
                      <w:color w:val="auto"/>
                    </w:rPr>
                    <w:t>，项目与</w:t>
                  </w:r>
                  <w:r>
                    <w:rPr>
                      <w:color w:val="auto"/>
                    </w:rPr>
                    <w:t>通江县水资源综合规划</w:t>
                  </w:r>
                  <w:r>
                    <w:rPr>
                      <w:rFonts w:hint="eastAsia"/>
                      <w:color w:val="auto"/>
                    </w:rPr>
                    <w:t>、通江县“十四五”水安全保障规划（2021—2025年）等相关规划相符合；</w:t>
                  </w:r>
                  <w:r>
                    <w:rPr>
                      <w:color w:val="auto"/>
                    </w:rPr>
                    <w:t>本工程供水输水型式采用管道输水，经计算，</w:t>
                  </w:r>
                  <w:r>
                    <w:rPr>
                      <w:rFonts w:hint="eastAsia"/>
                      <w:color w:val="auto"/>
                    </w:rPr>
                    <w:t>本工程</w:t>
                  </w:r>
                  <w:r>
                    <w:rPr>
                      <w:color w:val="auto"/>
                    </w:rPr>
                    <w:t>灌区的灌溉水利用系数为0.855，管系水利用系数为0.95，田间水利用系数为0.90，处于合理范围内，符合《节水灌溉工程技术标准》（GB/T 50363-2018）要求。本工程供水输水型式采用管道输水，管</w:t>
                  </w:r>
                  <w:r>
                    <w:rPr>
                      <w:rFonts w:hint="eastAsia"/>
                      <w:color w:val="auto"/>
                    </w:rPr>
                    <w:t>网漏损率为9%</w:t>
                  </w:r>
                  <w:r>
                    <w:rPr>
                      <w:color w:val="auto"/>
                    </w:rPr>
                    <w:t>。整个供水工程实行整体管理体制，同时在工程运行时还充分的考虑了实时监控计量设施的设置，可及时管控输水过程。</w:t>
                  </w:r>
                  <w:r>
                    <w:rPr>
                      <w:rFonts w:hint="eastAsia"/>
                      <w:color w:val="auto"/>
                    </w:rPr>
                    <w:t>根据本项目《水环境专题研究报告》，</w:t>
                  </w:r>
                  <w:r>
                    <w:rPr>
                      <w:color w:val="auto"/>
                    </w:rPr>
                    <w:t>流里河水库取水口、王家河水库取水口和澌溪沟水库取水口三个水库取水口断面综合水质类别为Ⅱ类，综合水质状况为优。</w:t>
                  </w:r>
                  <w:r>
                    <w:rPr>
                      <w:rFonts w:hint="eastAsia"/>
                      <w:color w:val="auto"/>
                    </w:rPr>
                    <w:t>工程建成运行后，通过科学调控出库与引水流量，通江受水区水质可实现持续稳定达标，流里河、王家河、澌溪沟三个水库坝下河段以及通江受水区</w:t>
                  </w:r>
                  <w:r>
                    <w:rPr>
                      <w:color w:val="auto"/>
                    </w:rPr>
                    <w:t>2035</w:t>
                  </w:r>
                  <w:r>
                    <w:rPr>
                      <w:rFonts w:hint="eastAsia"/>
                      <w:color w:val="auto"/>
                    </w:rPr>
                    <w:t>年各水平年</w:t>
                  </w:r>
                  <w:r>
                    <w:rPr>
                      <w:color w:val="auto"/>
                    </w:rPr>
                    <w:t>COD</w:t>
                  </w:r>
                  <w:r>
                    <w:rPr>
                      <w:rFonts w:hint="eastAsia"/>
                      <w:color w:val="auto"/>
                    </w:rPr>
                    <w:t>、</w:t>
                  </w:r>
                  <w:r>
                    <w:rPr>
                      <w:color w:val="auto"/>
                    </w:rPr>
                    <w:t>NH</w:t>
                  </w:r>
                  <w:r>
                    <w:rPr>
                      <w:rFonts w:hint="eastAsia"/>
                      <w:color w:val="auto"/>
                      <w:vertAlign w:val="subscript"/>
                    </w:rPr>
                    <w:t>3</w:t>
                  </w:r>
                  <w:r>
                    <w:rPr>
                      <w:color w:val="auto"/>
                    </w:rPr>
                    <w:t>-N</w:t>
                  </w:r>
                  <w:r>
                    <w:rPr>
                      <w:rFonts w:hint="eastAsia"/>
                      <w:color w:val="auto"/>
                    </w:rPr>
                    <w:t>、TP和TN等核心污染指标均能满足</w:t>
                  </w:r>
                  <w:r>
                    <w:rPr>
                      <w:color w:val="auto"/>
                    </w:rPr>
                    <w:t>《地表水环境质量标准》（GB3838-2002）</w:t>
                  </w:r>
                  <w:r>
                    <w:rPr>
                      <w:rFonts w:hint="eastAsia"/>
                      <w:color w:val="auto"/>
                    </w:rPr>
                    <w:t>Ⅲ类及以上标准，即便在人口密集区污染源汇入及铁佛灌区污染负荷增长（</w:t>
                  </w:r>
                  <w:r>
                    <w:rPr>
                      <w:color w:val="auto"/>
                    </w:rPr>
                    <w:t>COD</w:t>
                  </w:r>
                  <w:r>
                    <w:rPr>
                      <w:rFonts w:hint="eastAsia"/>
                      <w:color w:val="auto"/>
                    </w:rPr>
                    <w:t>增长率</w:t>
                  </w:r>
                  <w:r>
                    <w:rPr>
                      <w:color w:val="auto"/>
                    </w:rPr>
                    <w:t>19.7%</w:t>
                  </w:r>
                  <w:r>
                    <w:rPr>
                      <w:rFonts w:hint="eastAsia"/>
                      <w:color w:val="auto"/>
                    </w:rPr>
                    <w:t>、</w:t>
                  </w:r>
                  <w:r>
                    <w:rPr>
                      <w:color w:val="auto"/>
                    </w:rPr>
                    <w:t>TP</w:t>
                  </w:r>
                  <w:r>
                    <w:rPr>
                      <w:rFonts w:hint="eastAsia"/>
                      <w:color w:val="auto"/>
                    </w:rPr>
                    <w:t>增长率</w:t>
                  </w:r>
                  <w:r>
                    <w:rPr>
                      <w:color w:val="auto"/>
                    </w:rPr>
                    <w:t>22.2%</w:t>
                  </w:r>
                  <w:r>
                    <w:rPr>
                      <w:rFonts w:hint="eastAsia"/>
                      <w:color w:val="auto"/>
                    </w:rPr>
                    <w:t>）的情况下，受水区水质仍无波动风险。</w:t>
                  </w:r>
                  <w:r>
                    <w:rPr>
                      <w:color w:val="auto"/>
                    </w:rPr>
                    <w:t>项目符合“先节水后调水、先治污后通水、先环保后用水”原则，与水资源开发利用及区域用水总量控制、用水效率控制、水（环境）功能区限制纳污控制等相协调。</w:t>
                  </w:r>
                  <w:r>
                    <w:rPr>
                      <w:rFonts w:hint="eastAsia"/>
                      <w:color w:val="auto"/>
                    </w:rPr>
                    <w:t>本项目</w:t>
                  </w:r>
                  <w:r>
                    <w:rPr>
                      <w:color w:val="auto"/>
                    </w:rPr>
                    <w:t>建成后，</w:t>
                  </w:r>
                  <w:r>
                    <w:rPr>
                      <w:rFonts w:hint="eastAsia"/>
                      <w:color w:val="auto"/>
                    </w:rPr>
                    <w:t>工程</w:t>
                  </w:r>
                  <w:r>
                    <w:rPr>
                      <w:color w:val="auto"/>
                    </w:rPr>
                    <w:t>取水量满足通江县、大通江</w:t>
                  </w:r>
                  <w:r>
                    <w:rPr>
                      <w:rFonts w:hint="eastAsia"/>
                      <w:color w:val="auto"/>
                    </w:rPr>
                    <w:t>流域</w:t>
                  </w:r>
                  <w:r>
                    <w:rPr>
                      <w:color w:val="auto"/>
                    </w:rPr>
                    <w:t>用水总量控制指标要求</w:t>
                  </w:r>
                  <w:r>
                    <w:rPr>
                      <w:rFonts w:hint="eastAsia"/>
                      <w:color w:val="auto"/>
                    </w:rPr>
                    <w:t>，对区域水资源分配无影响</w:t>
                  </w:r>
                  <w:r>
                    <w:rPr>
                      <w:color w:val="auto"/>
                    </w:rPr>
                    <w:t>。</w:t>
                  </w:r>
                </w:p>
              </w:tc>
              <w:tc>
                <w:tcPr>
                  <w:tcW w:w="832" w:type="dxa"/>
                  <w:tcBorders>
                    <w:tl2br w:val="nil"/>
                    <w:tr2bl w:val="nil"/>
                  </w:tcBorders>
                  <w:vAlign w:val="center"/>
                </w:tcPr>
                <w:p w14:paraId="27B2C988">
                  <w:pPr>
                    <w:pStyle w:val="16"/>
                    <w:jc w:val="center"/>
                    <w:rPr>
                      <w:color w:val="auto"/>
                    </w:rPr>
                  </w:pPr>
                  <w:r>
                    <w:rPr>
                      <w:rFonts w:hint="eastAsia"/>
                      <w:color w:val="auto"/>
                    </w:rPr>
                    <w:t>符合</w:t>
                  </w:r>
                </w:p>
              </w:tc>
            </w:tr>
            <w:tr w14:paraId="06D99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5E4EACB3">
                  <w:pPr>
                    <w:pStyle w:val="16"/>
                    <w:jc w:val="center"/>
                    <w:rPr>
                      <w:color w:val="auto"/>
                    </w:rPr>
                  </w:pPr>
                  <w:r>
                    <w:rPr>
                      <w:rFonts w:hint="eastAsia"/>
                      <w:color w:val="auto"/>
                    </w:rPr>
                    <w:t>2</w:t>
                  </w:r>
                </w:p>
              </w:tc>
              <w:tc>
                <w:tcPr>
                  <w:tcW w:w="2587" w:type="dxa"/>
                  <w:tcBorders>
                    <w:tl2br w:val="nil"/>
                    <w:tr2bl w:val="nil"/>
                  </w:tcBorders>
                  <w:vAlign w:val="center"/>
                </w:tcPr>
                <w:p w14:paraId="0B443B14">
                  <w:pPr>
                    <w:pStyle w:val="16"/>
                    <w:rPr>
                      <w:color w:val="auto"/>
                    </w:rPr>
                  </w:pPr>
                  <w:r>
                    <w:rPr>
                      <w:color w:val="auto"/>
                    </w:rPr>
                    <w:t>项目选址选线、取（蓄）水工程淹没、施工布置等不占用自然保护区、风景名胜区、世界文化和自然遗产地以及其他生态保护红线中法律法规禁止占用的区域，并与饮用水水源保护区、重要湿地等环境敏感区的保护要求相协调。</w:t>
                  </w:r>
                </w:p>
              </w:tc>
              <w:tc>
                <w:tcPr>
                  <w:tcW w:w="3526" w:type="dxa"/>
                  <w:tcBorders>
                    <w:tl2br w:val="nil"/>
                    <w:tr2bl w:val="nil"/>
                  </w:tcBorders>
                  <w:vAlign w:val="center"/>
                </w:tcPr>
                <w:p w14:paraId="539B1EE5">
                  <w:pPr>
                    <w:pStyle w:val="16"/>
                    <w:rPr>
                      <w:color w:val="auto"/>
                    </w:rPr>
                  </w:pPr>
                  <w:r>
                    <w:rPr>
                      <w:rFonts w:hint="eastAsia"/>
                      <w:color w:val="auto"/>
                    </w:rPr>
                    <w:t>本项目利用已建水库工程，</w:t>
                  </w:r>
                  <w:r>
                    <w:rPr>
                      <w:color w:val="auto"/>
                    </w:rPr>
                    <w:t>工程选址选线、施工布置</w:t>
                  </w:r>
                  <w:r>
                    <w:rPr>
                      <w:rFonts w:hint="eastAsia"/>
                      <w:color w:val="auto"/>
                    </w:rPr>
                    <w:t>未</w:t>
                  </w:r>
                  <w:r>
                    <w:rPr>
                      <w:color w:val="auto"/>
                    </w:rPr>
                    <w:t>占用自然保护区、风景名胜区、世界文化和自然遗产地以及其他生态保护红线中法律法规禁止占用的区域</w:t>
                  </w:r>
                  <w:r>
                    <w:rPr>
                      <w:rFonts w:hint="eastAsia"/>
                      <w:color w:val="auto"/>
                    </w:rPr>
                    <w:t>，项目建设不涉及</w:t>
                  </w:r>
                  <w:r>
                    <w:rPr>
                      <w:color w:val="auto"/>
                    </w:rPr>
                    <w:t>饮用水水源保护区、重要湿地等环境敏感区</w:t>
                  </w:r>
                  <w:r>
                    <w:rPr>
                      <w:rFonts w:hint="eastAsia"/>
                      <w:color w:val="auto"/>
                    </w:rPr>
                    <w:t>。</w:t>
                  </w:r>
                </w:p>
              </w:tc>
              <w:tc>
                <w:tcPr>
                  <w:tcW w:w="832" w:type="dxa"/>
                  <w:tcBorders>
                    <w:tl2br w:val="nil"/>
                    <w:tr2bl w:val="nil"/>
                  </w:tcBorders>
                  <w:vAlign w:val="center"/>
                </w:tcPr>
                <w:p w14:paraId="00FD0C9D">
                  <w:pPr>
                    <w:pStyle w:val="16"/>
                    <w:jc w:val="center"/>
                    <w:rPr>
                      <w:color w:val="auto"/>
                    </w:rPr>
                  </w:pPr>
                  <w:r>
                    <w:rPr>
                      <w:rFonts w:hint="eastAsia"/>
                      <w:color w:val="auto"/>
                    </w:rPr>
                    <w:t>符合</w:t>
                  </w:r>
                </w:p>
              </w:tc>
            </w:tr>
            <w:tr w14:paraId="154BE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63C7AAC">
                  <w:pPr>
                    <w:pStyle w:val="16"/>
                    <w:jc w:val="center"/>
                    <w:rPr>
                      <w:color w:val="auto"/>
                    </w:rPr>
                  </w:pPr>
                  <w:r>
                    <w:rPr>
                      <w:rFonts w:hint="eastAsia"/>
                      <w:color w:val="auto"/>
                    </w:rPr>
                    <w:t>3</w:t>
                  </w:r>
                </w:p>
              </w:tc>
              <w:tc>
                <w:tcPr>
                  <w:tcW w:w="2587" w:type="dxa"/>
                  <w:tcBorders>
                    <w:tl2br w:val="nil"/>
                    <w:tr2bl w:val="nil"/>
                  </w:tcBorders>
                  <w:vAlign w:val="center"/>
                </w:tcPr>
                <w:p w14:paraId="493AD8FF">
                  <w:pPr>
                    <w:pStyle w:val="16"/>
                    <w:rPr>
                      <w:color w:val="auto"/>
                    </w:rPr>
                  </w:pPr>
                  <w:r>
                    <w:rPr>
                      <w:color w:val="auto"/>
                    </w:rPr>
                    <w:t>项目取（蓄）水造成河、湖或水库水文情势改变且带来不利影响的，统筹考虑了上、下游河道水环境、水生生态、景观、湿地等生态用水及生产、生活用水需求，提出了优化取水方案、泄放生态流量、实施在线监控等措施。通过节水、置换等措施获得供水水量的，用水方式和规模具有环境合理性和可行性。采取上述措施后，未造成河道脱水，河道生态环境及生产、生活用水需求能够得到满足。</w:t>
                  </w:r>
                </w:p>
              </w:tc>
              <w:tc>
                <w:tcPr>
                  <w:tcW w:w="3526" w:type="dxa"/>
                  <w:tcBorders>
                    <w:tl2br w:val="nil"/>
                    <w:tr2bl w:val="nil"/>
                  </w:tcBorders>
                  <w:vAlign w:val="center"/>
                </w:tcPr>
                <w:p w14:paraId="71A39789">
                  <w:pPr>
                    <w:pStyle w:val="16"/>
                    <w:rPr>
                      <w:color w:val="auto"/>
                    </w:rPr>
                  </w:pPr>
                  <w:r>
                    <w:rPr>
                      <w:rFonts w:hint="eastAsia"/>
                      <w:color w:val="auto"/>
                    </w:rPr>
                    <w:t>本项目调水未对调出区造成不利影响，并采取措施保障了生态流量。</w:t>
                  </w:r>
                  <w:r>
                    <w:rPr>
                      <w:color w:val="auto"/>
                    </w:rPr>
                    <w:t>未造成河道脱水，河道生态环境及生产、生活用水需求能够得到满足。</w:t>
                  </w:r>
                </w:p>
              </w:tc>
              <w:tc>
                <w:tcPr>
                  <w:tcW w:w="832" w:type="dxa"/>
                  <w:tcBorders>
                    <w:tl2br w:val="nil"/>
                    <w:tr2bl w:val="nil"/>
                  </w:tcBorders>
                  <w:vAlign w:val="center"/>
                </w:tcPr>
                <w:p w14:paraId="2BF94800">
                  <w:pPr>
                    <w:pStyle w:val="16"/>
                    <w:jc w:val="center"/>
                    <w:rPr>
                      <w:color w:val="auto"/>
                    </w:rPr>
                  </w:pPr>
                  <w:r>
                    <w:rPr>
                      <w:rFonts w:hint="eastAsia"/>
                      <w:color w:val="auto"/>
                    </w:rPr>
                    <w:t>符合</w:t>
                  </w:r>
                </w:p>
              </w:tc>
            </w:tr>
            <w:tr w14:paraId="1C27A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7625B44">
                  <w:pPr>
                    <w:pStyle w:val="16"/>
                    <w:jc w:val="center"/>
                    <w:rPr>
                      <w:color w:val="auto"/>
                    </w:rPr>
                  </w:pPr>
                  <w:r>
                    <w:rPr>
                      <w:rFonts w:hint="eastAsia"/>
                      <w:color w:val="auto"/>
                    </w:rPr>
                    <w:t>4</w:t>
                  </w:r>
                </w:p>
              </w:tc>
              <w:tc>
                <w:tcPr>
                  <w:tcW w:w="2587" w:type="dxa"/>
                  <w:tcBorders>
                    <w:tl2br w:val="nil"/>
                    <w:tr2bl w:val="nil"/>
                  </w:tcBorders>
                  <w:vAlign w:val="center"/>
                </w:tcPr>
                <w:p w14:paraId="53540D2E">
                  <w:pPr>
                    <w:pStyle w:val="16"/>
                    <w:rPr>
                      <w:color w:val="auto"/>
                    </w:rPr>
                  </w:pPr>
                  <w:r>
                    <w:rPr>
                      <w:color w:val="auto"/>
                    </w:rPr>
                    <w:t>项目取（蓄）水、输水或灌溉造成周边区域地下水位变化，引起土壤潜育化、沼泽化、盐碱化、沙化或植被退化演替等次生环境问题或造成居民水井、泉水位下降影响居民用水安全的，提出了优化取（蓄）水方案及灌溉方式、渠道防渗、截水导排、生态修复或保障居民供水等措施。灌区土壤存在重金属污染等威胁农产品质量安全问题的，按照土壤环境管理的有关要求，提出了农艺调控、种植结构优化、耕地污染修复、灌溉水源调整或休耕等措施。采取上述措施后，对地下水、土壤和植被的次生环境影响能够得到缓解和控制，居民用水和农产品质量安全能够得到保障。</w:t>
                  </w:r>
                </w:p>
              </w:tc>
              <w:tc>
                <w:tcPr>
                  <w:tcW w:w="3526" w:type="dxa"/>
                  <w:tcBorders>
                    <w:tl2br w:val="nil"/>
                    <w:tr2bl w:val="nil"/>
                  </w:tcBorders>
                  <w:vAlign w:val="center"/>
                </w:tcPr>
                <w:p w14:paraId="5A8A7081">
                  <w:pPr>
                    <w:pStyle w:val="16"/>
                    <w:rPr>
                      <w:color w:val="auto"/>
                    </w:rPr>
                  </w:pPr>
                  <w:r>
                    <w:rPr>
                      <w:rFonts w:hint="eastAsia"/>
                      <w:color w:val="auto"/>
                    </w:rPr>
                    <w:t>项目建设不会造成</w:t>
                  </w:r>
                  <w:r>
                    <w:rPr>
                      <w:color w:val="auto"/>
                    </w:rPr>
                    <w:t>水库和输水沿线周边地下水位变化，引起土壤潜育化、沼泽化、盐碱化、沙化或植被退化演替等次生生态影响</w:t>
                  </w:r>
                  <w:r>
                    <w:rPr>
                      <w:rFonts w:hint="eastAsia"/>
                      <w:color w:val="auto"/>
                    </w:rPr>
                    <w:t>，灌区</w:t>
                  </w:r>
                  <w:r>
                    <w:rPr>
                      <w:color w:val="auto"/>
                    </w:rPr>
                    <w:t>土壤</w:t>
                  </w:r>
                  <w:r>
                    <w:rPr>
                      <w:rFonts w:hint="eastAsia"/>
                      <w:color w:val="auto"/>
                    </w:rPr>
                    <w:t>未</w:t>
                  </w:r>
                  <w:r>
                    <w:rPr>
                      <w:color w:val="auto"/>
                    </w:rPr>
                    <w:t>存在重金属污染等威胁农产品质量安全问题</w:t>
                  </w:r>
                  <w:r>
                    <w:rPr>
                      <w:rFonts w:hint="eastAsia"/>
                      <w:color w:val="auto"/>
                    </w:rPr>
                    <w:t>。</w:t>
                  </w:r>
                </w:p>
              </w:tc>
              <w:tc>
                <w:tcPr>
                  <w:tcW w:w="832" w:type="dxa"/>
                  <w:tcBorders>
                    <w:tl2br w:val="nil"/>
                    <w:tr2bl w:val="nil"/>
                  </w:tcBorders>
                  <w:vAlign w:val="center"/>
                </w:tcPr>
                <w:p w14:paraId="0C0AFA0E">
                  <w:pPr>
                    <w:pStyle w:val="16"/>
                    <w:jc w:val="center"/>
                    <w:rPr>
                      <w:color w:val="auto"/>
                    </w:rPr>
                  </w:pPr>
                  <w:r>
                    <w:rPr>
                      <w:rFonts w:hint="eastAsia"/>
                      <w:color w:val="auto"/>
                    </w:rPr>
                    <w:t>符合</w:t>
                  </w:r>
                </w:p>
              </w:tc>
            </w:tr>
            <w:tr w14:paraId="56E362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4C467210">
                  <w:pPr>
                    <w:pStyle w:val="16"/>
                    <w:jc w:val="center"/>
                    <w:rPr>
                      <w:color w:val="auto"/>
                    </w:rPr>
                  </w:pPr>
                  <w:r>
                    <w:rPr>
                      <w:rFonts w:hint="eastAsia"/>
                      <w:color w:val="auto"/>
                    </w:rPr>
                    <w:t>5</w:t>
                  </w:r>
                </w:p>
              </w:tc>
              <w:tc>
                <w:tcPr>
                  <w:tcW w:w="2587" w:type="dxa"/>
                  <w:tcBorders>
                    <w:tl2br w:val="nil"/>
                    <w:tr2bl w:val="nil"/>
                  </w:tcBorders>
                  <w:vAlign w:val="center"/>
                </w:tcPr>
                <w:p w14:paraId="4592A348">
                  <w:pPr>
                    <w:pStyle w:val="16"/>
                    <w:rPr>
                      <w:color w:val="auto"/>
                    </w:rPr>
                  </w:pPr>
                  <w:r>
                    <w:rPr>
                      <w:color w:val="auto"/>
                    </w:rPr>
                    <w:t>项目取（输）水水质、水温满足灌溉水质和农作物生长要求。项目灌区农药化肥施用以及灌溉退水等对水环境造成污染的，提出了测土配方施肥、水肥一体化、控制农药与化肥施用种类及数量，以及建设生态沟渠、人工湿地、污水净化塘等措施。采取上述措施后，对水环境造成的不利影响能够得到缓解和控制。</w:t>
                  </w:r>
                </w:p>
              </w:tc>
              <w:tc>
                <w:tcPr>
                  <w:tcW w:w="3526" w:type="dxa"/>
                  <w:tcBorders>
                    <w:tl2br w:val="nil"/>
                    <w:tr2bl w:val="nil"/>
                  </w:tcBorders>
                  <w:vAlign w:val="center"/>
                </w:tcPr>
                <w:p w14:paraId="258EE856">
                  <w:pPr>
                    <w:pStyle w:val="16"/>
                    <w:rPr>
                      <w:color w:val="auto"/>
                    </w:rPr>
                  </w:pPr>
                  <w:r>
                    <w:rPr>
                      <w:rFonts w:hint="eastAsia"/>
                      <w:color w:val="auto"/>
                    </w:rPr>
                    <w:t>本项目建成运行后，通过科学调控出库与引水流量，通江受水区水质可实现持续稳定达标，流里河、王家河、澌溪沟三个水库坝下河段以及通江受水区</w:t>
                  </w:r>
                  <w:r>
                    <w:rPr>
                      <w:color w:val="auto"/>
                    </w:rPr>
                    <w:t>2035</w:t>
                  </w:r>
                  <w:r>
                    <w:rPr>
                      <w:rFonts w:hint="eastAsia"/>
                      <w:color w:val="auto"/>
                    </w:rPr>
                    <w:t>年各水平年</w:t>
                  </w:r>
                  <w:r>
                    <w:rPr>
                      <w:color w:val="auto"/>
                    </w:rPr>
                    <w:t>COD</w:t>
                  </w:r>
                  <w:r>
                    <w:rPr>
                      <w:rFonts w:hint="eastAsia"/>
                      <w:color w:val="auto"/>
                    </w:rPr>
                    <w:t>、</w:t>
                  </w:r>
                  <w:r>
                    <w:rPr>
                      <w:color w:val="auto"/>
                    </w:rPr>
                    <w:t>NH</w:t>
                  </w:r>
                  <w:r>
                    <w:rPr>
                      <w:rFonts w:hint="eastAsia"/>
                      <w:color w:val="auto"/>
                      <w:vertAlign w:val="subscript"/>
                    </w:rPr>
                    <w:t>3</w:t>
                  </w:r>
                  <w:r>
                    <w:rPr>
                      <w:color w:val="auto"/>
                    </w:rPr>
                    <w:t>-N</w:t>
                  </w:r>
                  <w:r>
                    <w:rPr>
                      <w:rFonts w:hint="eastAsia"/>
                      <w:color w:val="auto"/>
                    </w:rPr>
                    <w:t>、TP和TN等核心污染指标均能满足</w:t>
                  </w:r>
                  <w:r>
                    <w:rPr>
                      <w:color w:val="auto"/>
                    </w:rPr>
                    <w:t>《地表水环境质量标准》（GB3838-2002）</w:t>
                  </w:r>
                  <w:r>
                    <w:rPr>
                      <w:rFonts w:hint="eastAsia"/>
                      <w:color w:val="auto"/>
                    </w:rPr>
                    <w:t>Ⅲ类及以上标准，即便在人口密集区污染源汇入及铁佛灌区污染负荷增长（</w:t>
                  </w:r>
                  <w:r>
                    <w:rPr>
                      <w:color w:val="auto"/>
                    </w:rPr>
                    <w:t>COD</w:t>
                  </w:r>
                  <w:r>
                    <w:rPr>
                      <w:rFonts w:hint="eastAsia"/>
                      <w:color w:val="auto"/>
                    </w:rPr>
                    <w:t>增长率</w:t>
                  </w:r>
                  <w:r>
                    <w:rPr>
                      <w:color w:val="auto"/>
                    </w:rPr>
                    <w:t>19.7%</w:t>
                  </w:r>
                  <w:r>
                    <w:rPr>
                      <w:rFonts w:hint="eastAsia"/>
                      <w:color w:val="auto"/>
                    </w:rPr>
                    <w:t>、</w:t>
                  </w:r>
                  <w:r>
                    <w:rPr>
                      <w:color w:val="auto"/>
                    </w:rPr>
                    <w:t>TP</w:t>
                  </w:r>
                  <w:r>
                    <w:rPr>
                      <w:rFonts w:hint="eastAsia"/>
                      <w:color w:val="auto"/>
                    </w:rPr>
                    <w:t>增长率</w:t>
                  </w:r>
                  <w:r>
                    <w:rPr>
                      <w:color w:val="auto"/>
                    </w:rPr>
                    <w:t>22.2%</w:t>
                  </w:r>
                  <w:r>
                    <w:rPr>
                      <w:rFonts w:hint="eastAsia"/>
                      <w:color w:val="auto"/>
                    </w:rPr>
                    <w:t>）的情况下，受水区水质仍无波动风险。同时，水库形成的稳定水体环境使库区水体降解时间大幅增加，自净能力显著提升，三座水库库区丰、平、枯水年水质均能达到Ⅱ类标准，较现状实现明显改善，工程对区域水文情势影响极小，退水流量占来水流量比例不足1%，最终在保障受水区优良水质的基础上实现了库区水质优化，生态与社会效益显著。</w:t>
                  </w:r>
                </w:p>
              </w:tc>
              <w:tc>
                <w:tcPr>
                  <w:tcW w:w="832" w:type="dxa"/>
                  <w:tcBorders>
                    <w:tl2br w:val="nil"/>
                    <w:tr2bl w:val="nil"/>
                  </w:tcBorders>
                  <w:vAlign w:val="center"/>
                </w:tcPr>
                <w:p w14:paraId="7673E349">
                  <w:pPr>
                    <w:pStyle w:val="16"/>
                    <w:jc w:val="center"/>
                    <w:rPr>
                      <w:color w:val="auto"/>
                    </w:rPr>
                  </w:pPr>
                  <w:r>
                    <w:rPr>
                      <w:rFonts w:hint="eastAsia"/>
                      <w:color w:val="auto"/>
                    </w:rPr>
                    <w:t>符合</w:t>
                  </w:r>
                </w:p>
              </w:tc>
            </w:tr>
            <w:tr w14:paraId="47029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BD0FC03">
                  <w:pPr>
                    <w:pStyle w:val="16"/>
                    <w:jc w:val="center"/>
                    <w:rPr>
                      <w:color w:val="auto"/>
                    </w:rPr>
                  </w:pPr>
                  <w:r>
                    <w:rPr>
                      <w:rFonts w:hint="eastAsia"/>
                      <w:color w:val="auto"/>
                    </w:rPr>
                    <w:t>6</w:t>
                  </w:r>
                </w:p>
              </w:tc>
              <w:tc>
                <w:tcPr>
                  <w:tcW w:w="2587" w:type="dxa"/>
                  <w:tcBorders>
                    <w:tl2br w:val="nil"/>
                    <w:tr2bl w:val="nil"/>
                  </w:tcBorders>
                  <w:vAlign w:val="center"/>
                </w:tcPr>
                <w:p w14:paraId="1B60FE52">
                  <w:pPr>
                    <w:pStyle w:val="16"/>
                    <w:rPr>
                      <w:color w:val="auto"/>
                    </w:rPr>
                  </w:pPr>
                  <w:r>
                    <w:rPr>
                      <w:color w:val="auto"/>
                    </w:rPr>
                    <w:t>项目对湿地、陆生生态系统及珍稀保护陆生动植物造成不利影响的，提出了优化工程设计、合理安排工期、建设或保留动物迁移通道、异地保护、就地保护、生态修复等措施。可能引起灌区及周边土地退化的，提出了轮作、休耕等措施。项目对水生生态系统及鱼类等造成不利影响的，提出了优化工程设计及调度、拦河闸坝建设过鱼设施、引水渠首设置拦鱼设施、栖息地保护修复、增殖放流等措施。项目对景观产生不利影响的，提出了避让、优化设计、景观塑造等措施。采取上述措施后，对生态的不利影响能够得到缓解和控制，不会造成原有珍稀保护动植物在相关区域和河段消失，并与区域景观相协调。</w:t>
                  </w:r>
                </w:p>
              </w:tc>
              <w:tc>
                <w:tcPr>
                  <w:tcW w:w="3526" w:type="dxa"/>
                  <w:tcBorders>
                    <w:tl2br w:val="nil"/>
                    <w:tr2bl w:val="nil"/>
                  </w:tcBorders>
                  <w:vAlign w:val="center"/>
                </w:tcPr>
                <w:p w14:paraId="730953BF">
                  <w:pPr>
                    <w:pStyle w:val="16"/>
                    <w:rPr>
                      <w:color w:val="auto"/>
                    </w:rPr>
                  </w:pPr>
                  <w:r>
                    <w:rPr>
                      <w:rFonts w:hint="eastAsia"/>
                      <w:color w:val="auto"/>
                    </w:rPr>
                    <w:t>项目不新建水库，占地范围内未发现</w:t>
                  </w:r>
                  <w:r>
                    <w:rPr>
                      <w:color w:val="auto"/>
                    </w:rPr>
                    <w:t>珍稀濒危和重点保护野生动植物</w:t>
                  </w:r>
                  <w:r>
                    <w:rPr>
                      <w:rFonts w:hint="eastAsia"/>
                      <w:color w:val="auto"/>
                    </w:rPr>
                    <w:t>，不会对</w:t>
                  </w:r>
                  <w:r>
                    <w:rPr>
                      <w:color w:val="auto"/>
                    </w:rPr>
                    <w:t>珍稀濒危和重点保护野生动植物造成影响</w:t>
                  </w:r>
                  <w:r>
                    <w:rPr>
                      <w:rFonts w:hint="eastAsia"/>
                      <w:color w:val="auto"/>
                    </w:rPr>
                    <w:t>；不会对</w:t>
                  </w:r>
                  <w:r>
                    <w:rPr>
                      <w:color w:val="auto"/>
                    </w:rPr>
                    <w:t>鱼类等水生生物的生境、物种多样性及资源量等造成不利影响</w:t>
                  </w:r>
                  <w:r>
                    <w:rPr>
                      <w:rFonts w:hint="eastAsia"/>
                      <w:color w:val="auto"/>
                    </w:rPr>
                    <w:t>。施工结束后将对施工临时场地进行植被恢复或得垦。</w:t>
                  </w:r>
                </w:p>
              </w:tc>
              <w:tc>
                <w:tcPr>
                  <w:tcW w:w="832" w:type="dxa"/>
                  <w:tcBorders>
                    <w:tl2br w:val="nil"/>
                    <w:tr2bl w:val="nil"/>
                  </w:tcBorders>
                  <w:vAlign w:val="center"/>
                </w:tcPr>
                <w:p w14:paraId="47DEBCEC">
                  <w:pPr>
                    <w:pStyle w:val="16"/>
                    <w:jc w:val="center"/>
                    <w:rPr>
                      <w:color w:val="auto"/>
                    </w:rPr>
                  </w:pPr>
                  <w:r>
                    <w:rPr>
                      <w:rFonts w:hint="eastAsia"/>
                      <w:color w:val="auto"/>
                    </w:rPr>
                    <w:t>符合</w:t>
                  </w:r>
                </w:p>
              </w:tc>
            </w:tr>
            <w:tr w14:paraId="10050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07E7919">
                  <w:pPr>
                    <w:pStyle w:val="16"/>
                    <w:jc w:val="center"/>
                    <w:rPr>
                      <w:color w:val="auto"/>
                    </w:rPr>
                  </w:pPr>
                  <w:r>
                    <w:rPr>
                      <w:rFonts w:hint="eastAsia"/>
                      <w:color w:val="auto"/>
                    </w:rPr>
                    <w:t>7</w:t>
                  </w:r>
                </w:p>
              </w:tc>
              <w:tc>
                <w:tcPr>
                  <w:tcW w:w="2587" w:type="dxa"/>
                  <w:tcBorders>
                    <w:tl2br w:val="nil"/>
                    <w:tr2bl w:val="nil"/>
                  </w:tcBorders>
                  <w:vAlign w:val="center"/>
                </w:tcPr>
                <w:p w14:paraId="7EF88E11">
                  <w:pPr>
                    <w:pStyle w:val="16"/>
                    <w:rPr>
                      <w:color w:val="auto"/>
                    </w:rPr>
                  </w:pPr>
                  <w:r>
                    <w:rPr>
                      <w:color w:val="auto"/>
                    </w:rPr>
                    <w:t>项目移民安置、专业项目改复建等工程建设方式和选址具有环境合理性，提出了生态保护和污染防治措施。另行立项的，提出了单独开展环境影响评价要求</w:t>
                  </w:r>
                  <w:r>
                    <w:rPr>
                      <w:rFonts w:hint="eastAsia"/>
                      <w:color w:val="auto"/>
                    </w:rPr>
                    <w:t>。</w:t>
                  </w:r>
                </w:p>
              </w:tc>
              <w:tc>
                <w:tcPr>
                  <w:tcW w:w="3526" w:type="dxa"/>
                  <w:tcBorders>
                    <w:tl2br w:val="nil"/>
                    <w:tr2bl w:val="nil"/>
                  </w:tcBorders>
                  <w:vAlign w:val="center"/>
                </w:tcPr>
                <w:p w14:paraId="206F2826">
                  <w:pPr>
                    <w:pStyle w:val="16"/>
                    <w:rPr>
                      <w:color w:val="auto"/>
                    </w:rPr>
                  </w:pPr>
                  <w:r>
                    <w:rPr>
                      <w:rFonts w:hint="eastAsia"/>
                      <w:color w:val="auto"/>
                    </w:rPr>
                    <w:t>本项目不涉及移民安置。</w:t>
                  </w:r>
                </w:p>
              </w:tc>
              <w:tc>
                <w:tcPr>
                  <w:tcW w:w="832" w:type="dxa"/>
                  <w:tcBorders>
                    <w:tl2br w:val="nil"/>
                    <w:tr2bl w:val="nil"/>
                  </w:tcBorders>
                  <w:vAlign w:val="center"/>
                </w:tcPr>
                <w:p w14:paraId="63640AF3">
                  <w:pPr>
                    <w:pStyle w:val="16"/>
                    <w:jc w:val="center"/>
                    <w:rPr>
                      <w:color w:val="auto"/>
                    </w:rPr>
                  </w:pPr>
                  <w:r>
                    <w:rPr>
                      <w:rFonts w:hint="eastAsia"/>
                      <w:color w:val="auto"/>
                    </w:rPr>
                    <w:t>符合</w:t>
                  </w:r>
                </w:p>
              </w:tc>
            </w:tr>
            <w:tr w14:paraId="05AB1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12C46A75">
                  <w:pPr>
                    <w:pStyle w:val="16"/>
                    <w:jc w:val="center"/>
                    <w:rPr>
                      <w:color w:val="auto"/>
                    </w:rPr>
                  </w:pPr>
                  <w:r>
                    <w:rPr>
                      <w:rFonts w:hint="eastAsia"/>
                      <w:color w:val="auto"/>
                    </w:rPr>
                    <w:t>8</w:t>
                  </w:r>
                </w:p>
              </w:tc>
              <w:tc>
                <w:tcPr>
                  <w:tcW w:w="2587" w:type="dxa"/>
                  <w:tcBorders>
                    <w:tl2br w:val="nil"/>
                    <w:tr2bl w:val="nil"/>
                  </w:tcBorders>
                  <w:vAlign w:val="center"/>
                </w:tcPr>
                <w:p w14:paraId="1434B3B8">
                  <w:pPr>
                    <w:pStyle w:val="16"/>
                    <w:rPr>
                      <w:color w:val="auto"/>
                    </w:rPr>
                  </w:pPr>
                  <w:r>
                    <w:rPr>
                      <w:color w:val="auto"/>
                    </w:rPr>
                    <w:t>项目施工组织方案具有环境合理性，对主体工程区、料场、弃土（渣）场、施工道路等施工区域提出了水土流失防治、生态修复等措施。根据环境保护相关标准和要求，提出了施工期废（污）水、施工机械车辆尾气、扬尘、噪声、固体废物等防治措施。项目在采取上述措施后，施工期的不利环境影响能够得到缓解和控制，不会对周围环境和环境保护目标造成重大不利影响。</w:t>
                  </w:r>
                </w:p>
              </w:tc>
              <w:tc>
                <w:tcPr>
                  <w:tcW w:w="3526" w:type="dxa"/>
                  <w:tcBorders>
                    <w:tl2br w:val="nil"/>
                    <w:tr2bl w:val="nil"/>
                  </w:tcBorders>
                  <w:vAlign w:val="center"/>
                </w:tcPr>
                <w:p w14:paraId="44DF4993">
                  <w:pPr>
                    <w:pStyle w:val="16"/>
                    <w:rPr>
                      <w:color w:val="auto"/>
                    </w:rPr>
                  </w:pPr>
                  <w:r>
                    <w:rPr>
                      <w:rFonts w:hint="eastAsia"/>
                      <w:color w:val="auto"/>
                    </w:rPr>
                    <w:t>本项目已对</w:t>
                  </w:r>
                  <w:r>
                    <w:rPr>
                      <w:color w:val="auto"/>
                    </w:rPr>
                    <w:t>施工场地提出了水土流失防治和施工迹地生态恢复等措施</w:t>
                  </w:r>
                  <w:r>
                    <w:rPr>
                      <w:rFonts w:hint="eastAsia"/>
                      <w:color w:val="auto"/>
                    </w:rPr>
                    <w:t>，并提出相应的</w:t>
                  </w:r>
                  <w:r>
                    <w:rPr>
                      <w:color w:val="auto"/>
                    </w:rPr>
                    <w:t>废（污）水、废气、噪声、固体废物</w:t>
                  </w:r>
                  <w:r>
                    <w:rPr>
                      <w:rFonts w:hint="eastAsia"/>
                      <w:color w:val="auto"/>
                    </w:rPr>
                    <w:t>治理或处置措施，“三废一噪”均能得到合理处置，不会造成污染。</w:t>
                  </w:r>
                </w:p>
              </w:tc>
              <w:tc>
                <w:tcPr>
                  <w:tcW w:w="832" w:type="dxa"/>
                  <w:tcBorders>
                    <w:tl2br w:val="nil"/>
                    <w:tr2bl w:val="nil"/>
                  </w:tcBorders>
                  <w:vAlign w:val="center"/>
                </w:tcPr>
                <w:p w14:paraId="45165AED">
                  <w:pPr>
                    <w:pStyle w:val="16"/>
                    <w:jc w:val="center"/>
                    <w:rPr>
                      <w:color w:val="auto"/>
                    </w:rPr>
                  </w:pPr>
                  <w:r>
                    <w:rPr>
                      <w:rFonts w:hint="eastAsia"/>
                      <w:color w:val="auto"/>
                    </w:rPr>
                    <w:t>符合</w:t>
                  </w:r>
                </w:p>
              </w:tc>
            </w:tr>
            <w:tr w14:paraId="191C34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14671F75">
                  <w:pPr>
                    <w:pStyle w:val="16"/>
                    <w:jc w:val="center"/>
                    <w:rPr>
                      <w:color w:val="auto"/>
                    </w:rPr>
                  </w:pPr>
                  <w:r>
                    <w:rPr>
                      <w:rFonts w:hint="eastAsia"/>
                      <w:color w:val="auto"/>
                    </w:rPr>
                    <w:t>9</w:t>
                  </w:r>
                </w:p>
              </w:tc>
              <w:tc>
                <w:tcPr>
                  <w:tcW w:w="2587" w:type="dxa"/>
                  <w:tcBorders>
                    <w:tl2br w:val="nil"/>
                    <w:tr2bl w:val="nil"/>
                  </w:tcBorders>
                  <w:vAlign w:val="center"/>
                </w:tcPr>
                <w:p w14:paraId="532E813A">
                  <w:pPr>
                    <w:pStyle w:val="16"/>
                    <w:rPr>
                      <w:color w:val="auto"/>
                    </w:rPr>
                  </w:pPr>
                  <w:r>
                    <w:rPr>
                      <w:color w:val="auto"/>
                    </w:rPr>
                    <w:t>项目存在外来物种入侵以及灌溉水质污染等环境风险的，提出了针对性的环境风险防范措施以及环境应急预案编制、建立必要的应急联动机制等要求。</w:t>
                  </w:r>
                </w:p>
              </w:tc>
              <w:tc>
                <w:tcPr>
                  <w:tcW w:w="3526" w:type="dxa"/>
                  <w:tcBorders>
                    <w:tl2br w:val="nil"/>
                    <w:tr2bl w:val="nil"/>
                  </w:tcBorders>
                  <w:vAlign w:val="center"/>
                </w:tcPr>
                <w:p w14:paraId="3A2070FA">
                  <w:pPr>
                    <w:pStyle w:val="16"/>
                    <w:rPr>
                      <w:color w:val="auto"/>
                    </w:rPr>
                  </w:pPr>
                  <w:r>
                    <w:rPr>
                      <w:rFonts w:hint="eastAsia"/>
                      <w:color w:val="auto"/>
                    </w:rPr>
                    <w:t>本项目已提出</w:t>
                  </w:r>
                  <w:r>
                    <w:rPr>
                      <w:color w:val="auto"/>
                    </w:rPr>
                    <w:t>水污染、外来物种入侵等环境风险防范措施</w:t>
                  </w:r>
                  <w:r>
                    <w:rPr>
                      <w:rFonts w:hint="eastAsia"/>
                      <w:color w:val="auto"/>
                    </w:rPr>
                    <w:t>，环评要求本项目应在本项目取得环评批复后及时编制本项目突发环境事件应急预案并与</w:t>
                  </w:r>
                  <w:r>
                    <w:rPr>
                      <w:color w:val="auto"/>
                    </w:rPr>
                    <w:t>地方人民政府及其相关部门和受影响单位建立应急联动机制</w:t>
                  </w:r>
                  <w:r>
                    <w:rPr>
                      <w:rFonts w:hint="eastAsia"/>
                      <w:color w:val="auto"/>
                    </w:rPr>
                    <w:t>。</w:t>
                  </w:r>
                </w:p>
              </w:tc>
              <w:tc>
                <w:tcPr>
                  <w:tcW w:w="832" w:type="dxa"/>
                  <w:tcBorders>
                    <w:tl2br w:val="nil"/>
                    <w:tr2bl w:val="nil"/>
                  </w:tcBorders>
                  <w:vAlign w:val="center"/>
                </w:tcPr>
                <w:p w14:paraId="099AF7AC">
                  <w:pPr>
                    <w:pStyle w:val="16"/>
                    <w:jc w:val="center"/>
                    <w:rPr>
                      <w:color w:val="auto"/>
                    </w:rPr>
                  </w:pPr>
                  <w:r>
                    <w:rPr>
                      <w:rFonts w:hint="eastAsia"/>
                      <w:color w:val="auto"/>
                    </w:rPr>
                    <w:t>符合</w:t>
                  </w:r>
                </w:p>
              </w:tc>
            </w:tr>
            <w:tr w14:paraId="0E2C7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4C0B97FE">
                  <w:pPr>
                    <w:pStyle w:val="16"/>
                    <w:jc w:val="center"/>
                    <w:rPr>
                      <w:color w:val="auto"/>
                    </w:rPr>
                  </w:pPr>
                  <w:r>
                    <w:rPr>
                      <w:rFonts w:hint="eastAsia"/>
                      <w:color w:val="auto"/>
                    </w:rPr>
                    <w:t>10</w:t>
                  </w:r>
                </w:p>
              </w:tc>
              <w:tc>
                <w:tcPr>
                  <w:tcW w:w="2587" w:type="dxa"/>
                  <w:tcBorders>
                    <w:tl2br w:val="nil"/>
                    <w:tr2bl w:val="nil"/>
                  </w:tcBorders>
                  <w:vAlign w:val="center"/>
                </w:tcPr>
                <w:p w14:paraId="73D2CDA7">
                  <w:pPr>
                    <w:pStyle w:val="16"/>
                    <w:rPr>
                      <w:color w:val="auto"/>
                    </w:rPr>
                  </w:pPr>
                  <w:r>
                    <w:rPr>
                      <w:color w:val="auto"/>
                    </w:rPr>
                    <w:t>改、扩建或依托现有工程的项目，在全面梳理与项目有关的现有工程环境问题的基础上，提出了与项目相适应的“以新带老”措施。</w:t>
                  </w:r>
                </w:p>
              </w:tc>
              <w:tc>
                <w:tcPr>
                  <w:tcW w:w="3526" w:type="dxa"/>
                  <w:tcBorders>
                    <w:tl2br w:val="nil"/>
                    <w:tr2bl w:val="nil"/>
                  </w:tcBorders>
                  <w:vAlign w:val="center"/>
                </w:tcPr>
                <w:p w14:paraId="79286C76">
                  <w:pPr>
                    <w:pStyle w:val="16"/>
                    <w:rPr>
                      <w:color w:val="auto"/>
                    </w:rPr>
                  </w:pPr>
                  <w:r>
                    <w:rPr>
                      <w:rFonts w:hint="eastAsia"/>
                      <w:color w:val="auto"/>
                    </w:rPr>
                    <w:t>本项目不属于</w:t>
                  </w:r>
                  <w:r>
                    <w:rPr>
                      <w:color w:val="auto"/>
                    </w:rPr>
                    <w:t>改、扩建项目</w:t>
                  </w:r>
                  <w:r>
                    <w:rPr>
                      <w:rFonts w:hint="eastAsia"/>
                      <w:color w:val="auto"/>
                    </w:rPr>
                    <w:t>。</w:t>
                  </w:r>
                </w:p>
              </w:tc>
              <w:tc>
                <w:tcPr>
                  <w:tcW w:w="832" w:type="dxa"/>
                  <w:tcBorders>
                    <w:tl2br w:val="nil"/>
                    <w:tr2bl w:val="nil"/>
                  </w:tcBorders>
                  <w:vAlign w:val="center"/>
                </w:tcPr>
                <w:p w14:paraId="1ED5E12E">
                  <w:pPr>
                    <w:pStyle w:val="16"/>
                    <w:jc w:val="center"/>
                    <w:rPr>
                      <w:color w:val="auto"/>
                    </w:rPr>
                  </w:pPr>
                  <w:r>
                    <w:rPr>
                      <w:rFonts w:hint="eastAsia"/>
                      <w:color w:val="auto"/>
                    </w:rPr>
                    <w:t>符合</w:t>
                  </w:r>
                </w:p>
              </w:tc>
            </w:tr>
            <w:tr w14:paraId="2C272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79B41F1F">
                  <w:pPr>
                    <w:pStyle w:val="16"/>
                    <w:jc w:val="center"/>
                    <w:rPr>
                      <w:color w:val="auto"/>
                    </w:rPr>
                  </w:pPr>
                  <w:r>
                    <w:rPr>
                      <w:rFonts w:hint="eastAsia"/>
                      <w:color w:val="auto"/>
                    </w:rPr>
                    <w:t>11</w:t>
                  </w:r>
                </w:p>
              </w:tc>
              <w:tc>
                <w:tcPr>
                  <w:tcW w:w="2587" w:type="dxa"/>
                  <w:tcBorders>
                    <w:tl2br w:val="nil"/>
                    <w:tr2bl w:val="nil"/>
                  </w:tcBorders>
                  <w:vAlign w:val="center"/>
                </w:tcPr>
                <w:p w14:paraId="0E1AF415">
                  <w:pPr>
                    <w:pStyle w:val="16"/>
                    <w:rPr>
                      <w:color w:val="auto"/>
                    </w:rPr>
                  </w:pPr>
                  <w:r>
                    <w:rPr>
                      <w:color w:val="auto"/>
                    </w:rPr>
                    <w:t>按相关导则及规定要求，制定了生态、水、土壤等环境要素的监测计划，明确了监测网点、因子、频次等有关要求，提出了根据监测评估结果优化环境保护措施的要求。根据生态环境保护需要和相关规定，提出了开展生态环境保护设计、科学研究、环境管理、环境影响后评价等要求。</w:t>
                  </w:r>
                </w:p>
              </w:tc>
              <w:tc>
                <w:tcPr>
                  <w:tcW w:w="3526" w:type="dxa"/>
                  <w:tcBorders>
                    <w:tl2br w:val="nil"/>
                    <w:tr2bl w:val="nil"/>
                  </w:tcBorders>
                  <w:vAlign w:val="center"/>
                </w:tcPr>
                <w:p w14:paraId="3B127B02">
                  <w:pPr>
                    <w:pStyle w:val="16"/>
                    <w:rPr>
                      <w:color w:val="auto"/>
                    </w:rPr>
                  </w:pPr>
                  <w:r>
                    <w:rPr>
                      <w:rFonts w:hint="eastAsia"/>
                      <w:color w:val="auto"/>
                    </w:rPr>
                    <w:t>本项目已按相关导则</w:t>
                  </w:r>
                  <w:r>
                    <w:rPr>
                      <w:color w:val="auto"/>
                    </w:rPr>
                    <w:t>及规定要求，</w:t>
                  </w:r>
                  <w:r>
                    <w:rPr>
                      <w:rFonts w:hint="eastAsia"/>
                      <w:color w:val="auto"/>
                    </w:rPr>
                    <w:t>制定了监测计划，详见第5章。后续将按要求开展</w:t>
                  </w:r>
                  <w:r>
                    <w:rPr>
                      <w:color w:val="auto"/>
                    </w:rPr>
                    <w:t>生态环境保护设计、环境管理、环境影响后评价</w:t>
                  </w:r>
                  <w:r>
                    <w:rPr>
                      <w:rFonts w:hint="eastAsia"/>
                      <w:color w:val="auto"/>
                    </w:rPr>
                    <w:t>。</w:t>
                  </w:r>
                </w:p>
              </w:tc>
              <w:tc>
                <w:tcPr>
                  <w:tcW w:w="832" w:type="dxa"/>
                  <w:tcBorders>
                    <w:tl2br w:val="nil"/>
                    <w:tr2bl w:val="nil"/>
                  </w:tcBorders>
                  <w:vAlign w:val="center"/>
                </w:tcPr>
                <w:p w14:paraId="4F05CA1A">
                  <w:pPr>
                    <w:pStyle w:val="16"/>
                    <w:jc w:val="center"/>
                    <w:rPr>
                      <w:color w:val="auto"/>
                    </w:rPr>
                  </w:pPr>
                  <w:r>
                    <w:rPr>
                      <w:rFonts w:hint="eastAsia"/>
                      <w:color w:val="auto"/>
                    </w:rPr>
                    <w:t>符合</w:t>
                  </w:r>
                </w:p>
              </w:tc>
            </w:tr>
            <w:tr w14:paraId="61F60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7896D45">
                  <w:pPr>
                    <w:pStyle w:val="16"/>
                    <w:jc w:val="center"/>
                    <w:rPr>
                      <w:color w:val="auto"/>
                    </w:rPr>
                  </w:pPr>
                  <w:r>
                    <w:rPr>
                      <w:rFonts w:hint="eastAsia"/>
                      <w:color w:val="auto"/>
                    </w:rPr>
                    <w:t>12</w:t>
                  </w:r>
                </w:p>
              </w:tc>
              <w:tc>
                <w:tcPr>
                  <w:tcW w:w="2587" w:type="dxa"/>
                  <w:tcBorders>
                    <w:tl2br w:val="nil"/>
                    <w:tr2bl w:val="nil"/>
                  </w:tcBorders>
                  <w:vAlign w:val="center"/>
                </w:tcPr>
                <w:p w14:paraId="2E31C3D6">
                  <w:pPr>
                    <w:pStyle w:val="16"/>
                    <w:rPr>
                      <w:color w:val="auto"/>
                    </w:rPr>
                  </w:pPr>
                  <w:r>
                    <w:rPr>
                      <w:color w:val="auto"/>
                    </w:rPr>
                    <w:t>对生态环境保护措施进行了深入论证，建设单位主体责任、投资估算、时间节点、预期效果明确，确保科学有效、安全可行、绿色协调。</w:t>
                  </w:r>
                </w:p>
              </w:tc>
              <w:tc>
                <w:tcPr>
                  <w:tcW w:w="3526" w:type="dxa"/>
                  <w:tcBorders>
                    <w:tl2br w:val="nil"/>
                    <w:tr2bl w:val="nil"/>
                  </w:tcBorders>
                  <w:vAlign w:val="center"/>
                </w:tcPr>
                <w:p w14:paraId="4632C56E">
                  <w:pPr>
                    <w:pStyle w:val="16"/>
                    <w:rPr>
                      <w:color w:val="auto"/>
                    </w:rPr>
                  </w:pPr>
                  <w:r>
                    <w:rPr>
                      <w:rFonts w:hint="eastAsia"/>
                      <w:color w:val="auto"/>
                    </w:rPr>
                    <w:t>本项目</w:t>
                  </w:r>
                  <w:r>
                    <w:rPr>
                      <w:color w:val="auto"/>
                    </w:rPr>
                    <w:t>具有明确的责任主体、投资、时间节点和预期效果等，确保科学有效、安全可行、绿色协调。</w:t>
                  </w:r>
                </w:p>
              </w:tc>
              <w:tc>
                <w:tcPr>
                  <w:tcW w:w="832" w:type="dxa"/>
                  <w:tcBorders>
                    <w:tl2br w:val="nil"/>
                    <w:tr2bl w:val="nil"/>
                  </w:tcBorders>
                  <w:vAlign w:val="center"/>
                </w:tcPr>
                <w:p w14:paraId="24CCDAE3">
                  <w:pPr>
                    <w:pStyle w:val="16"/>
                    <w:jc w:val="center"/>
                    <w:rPr>
                      <w:color w:val="auto"/>
                    </w:rPr>
                  </w:pPr>
                  <w:r>
                    <w:rPr>
                      <w:rFonts w:hint="eastAsia"/>
                      <w:color w:val="auto"/>
                    </w:rPr>
                    <w:t>符合</w:t>
                  </w:r>
                </w:p>
              </w:tc>
            </w:tr>
            <w:tr w14:paraId="597C1A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0101C6EC">
                  <w:pPr>
                    <w:pStyle w:val="16"/>
                    <w:jc w:val="center"/>
                    <w:rPr>
                      <w:color w:val="auto"/>
                    </w:rPr>
                  </w:pPr>
                  <w:r>
                    <w:rPr>
                      <w:rFonts w:hint="eastAsia"/>
                      <w:color w:val="auto"/>
                    </w:rPr>
                    <w:t>13</w:t>
                  </w:r>
                </w:p>
              </w:tc>
              <w:tc>
                <w:tcPr>
                  <w:tcW w:w="2587" w:type="dxa"/>
                  <w:tcBorders>
                    <w:tl2br w:val="nil"/>
                    <w:tr2bl w:val="nil"/>
                  </w:tcBorders>
                  <w:vAlign w:val="center"/>
                </w:tcPr>
                <w:p w14:paraId="3C38FBD7">
                  <w:pPr>
                    <w:pStyle w:val="16"/>
                    <w:rPr>
                      <w:color w:val="auto"/>
                    </w:rPr>
                  </w:pPr>
                  <w:r>
                    <w:rPr>
                      <w:color w:val="auto"/>
                    </w:rPr>
                    <w:t>按相关规定开展了信息公开和公众参与。</w:t>
                  </w:r>
                </w:p>
              </w:tc>
              <w:tc>
                <w:tcPr>
                  <w:tcW w:w="3526" w:type="dxa"/>
                  <w:tcBorders>
                    <w:tl2br w:val="nil"/>
                    <w:tr2bl w:val="nil"/>
                  </w:tcBorders>
                  <w:vAlign w:val="center"/>
                </w:tcPr>
                <w:p w14:paraId="7122321B">
                  <w:pPr>
                    <w:pStyle w:val="16"/>
                    <w:rPr>
                      <w:color w:val="auto"/>
                    </w:rPr>
                  </w:pPr>
                  <w:r>
                    <w:rPr>
                      <w:rFonts w:hint="eastAsia"/>
                      <w:color w:val="auto"/>
                    </w:rPr>
                    <w:t>本项目为环评报告表，按规定可不开展公众参与，环评报告按要求进行公示。</w:t>
                  </w:r>
                </w:p>
              </w:tc>
              <w:tc>
                <w:tcPr>
                  <w:tcW w:w="832" w:type="dxa"/>
                  <w:tcBorders>
                    <w:tl2br w:val="nil"/>
                    <w:tr2bl w:val="nil"/>
                  </w:tcBorders>
                  <w:vAlign w:val="center"/>
                </w:tcPr>
                <w:p w14:paraId="47E93AA8">
                  <w:pPr>
                    <w:pStyle w:val="16"/>
                    <w:jc w:val="center"/>
                    <w:rPr>
                      <w:color w:val="auto"/>
                    </w:rPr>
                  </w:pPr>
                  <w:r>
                    <w:rPr>
                      <w:rFonts w:hint="eastAsia"/>
                      <w:color w:val="auto"/>
                    </w:rPr>
                    <w:t>符合</w:t>
                  </w:r>
                </w:p>
              </w:tc>
            </w:tr>
            <w:tr w14:paraId="0A349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6" w:type="dxa"/>
                  <w:tcBorders>
                    <w:tl2br w:val="nil"/>
                    <w:tr2bl w:val="nil"/>
                  </w:tcBorders>
                  <w:vAlign w:val="center"/>
                </w:tcPr>
                <w:p w14:paraId="3011A36F">
                  <w:pPr>
                    <w:pStyle w:val="16"/>
                    <w:jc w:val="center"/>
                    <w:rPr>
                      <w:color w:val="auto"/>
                    </w:rPr>
                  </w:pPr>
                  <w:r>
                    <w:rPr>
                      <w:rFonts w:hint="eastAsia"/>
                      <w:color w:val="auto"/>
                    </w:rPr>
                    <w:t>14</w:t>
                  </w:r>
                </w:p>
              </w:tc>
              <w:tc>
                <w:tcPr>
                  <w:tcW w:w="2587" w:type="dxa"/>
                  <w:tcBorders>
                    <w:tl2br w:val="nil"/>
                    <w:tr2bl w:val="nil"/>
                  </w:tcBorders>
                  <w:vAlign w:val="center"/>
                </w:tcPr>
                <w:p w14:paraId="2FB7A54E">
                  <w:pPr>
                    <w:pStyle w:val="16"/>
                    <w:rPr>
                      <w:color w:val="auto"/>
                    </w:rPr>
                  </w:pPr>
                  <w:r>
                    <w:rPr>
                      <w:color w:val="auto"/>
                    </w:rPr>
                    <w:t>环境影响评价文件编制规范，符合相关管理规定和环评技术标准要求。</w:t>
                  </w:r>
                </w:p>
              </w:tc>
              <w:tc>
                <w:tcPr>
                  <w:tcW w:w="3526" w:type="dxa"/>
                  <w:tcBorders>
                    <w:tl2br w:val="nil"/>
                    <w:tr2bl w:val="nil"/>
                  </w:tcBorders>
                  <w:vAlign w:val="center"/>
                </w:tcPr>
                <w:p w14:paraId="334D5BDB">
                  <w:pPr>
                    <w:pStyle w:val="16"/>
                    <w:rPr>
                      <w:color w:val="auto"/>
                    </w:rPr>
                  </w:pPr>
                  <w:r>
                    <w:rPr>
                      <w:rFonts w:hint="eastAsia"/>
                      <w:color w:val="auto"/>
                    </w:rPr>
                    <w:t>本项目</w:t>
                  </w:r>
                  <w:r>
                    <w:rPr>
                      <w:color w:val="auto"/>
                    </w:rPr>
                    <w:t>环境影响评价文件</w:t>
                  </w:r>
                  <w:r>
                    <w:rPr>
                      <w:rFonts w:hint="eastAsia"/>
                      <w:color w:val="auto"/>
                    </w:rPr>
                    <w:t>严格按照《</w:t>
                  </w:r>
                  <w:r>
                    <w:rPr>
                      <w:color w:val="auto"/>
                    </w:rPr>
                    <w:t>建设项目环境影响报告表编制技术指南（生态影响类）（试行）</w:t>
                  </w:r>
                  <w:r>
                    <w:rPr>
                      <w:rFonts w:hint="eastAsia"/>
                      <w:color w:val="auto"/>
                    </w:rPr>
                    <w:t>》及相关技术导则编制，</w:t>
                  </w:r>
                  <w:r>
                    <w:rPr>
                      <w:color w:val="auto"/>
                    </w:rPr>
                    <w:t>符合资质管理规定和环评技术标准要求。</w:t>
                  </w:r>
                </w:p>
              </w:tc>
              <w:tc>
                <w:tcPr>
                  <w:tcW w:w="832" w:type="dxa"/>
                  <w:tcBorders>
                    <w:tl2br w:val="nil"/>
                    <w:tr2bl w:val="nil"/>
                  </w:tcBorders>
                  <w:vAlign w:val="center"/>
                </w:tcPr>
                <w:p w14:paraId="39C9B514">
                  <w:pPr>
                    <w:pStyle w:val="16"/>
                    <w:jc w:val="center"/>
                    <w:rPr>
                      <w:color w:val="auto"/>
                    </w:rPr>
                  </w:pPr>
                  <w:r>
                    <w:rPr>
                      <w:rFonts w:hint="eastAsia"/>
                      <w:color w:val="auto"/>
                    </w:rPr>
                    <w:t>符合</w:t>
                  </w:r>
                </w:p>
              </w:tc>
            </w:tr>
          </w:tbl>
          <w:p w14:paraId="7A1DA42D">
            <w:pPr>
              <w:ind w:firstLine="480"/>
              <w:rPr>
                <w:color w:val="auto"/>
              </w:rPr>
            </w:pPr>
          </w:p>
        </w:tc>
      </w:tr>
    </w:tbl>
    <w:p w14:paraId="7FF8503D">
      <w:pPr>
        <w:ind w:firstLine="600"/>
        <w:jc w:val="center"/>
        <w:outlineLvl w:val="0"/>
        <w:rPr>
          <w:rFonts w:eastAsia="黑体"/>
          <w:snapToGrid w:val="0"/>
          <w:color w:val="auto"/>
          <w:sz w:val="30"/>
          <w:szCs w:val="30"/>
        </w:rPr>
        <w:sectPr>
          <w:pgSz w:w="11906" w:h="16838"/>
          <w:pgMar w:top="1440" w:right="1800" w:bottom="1440" w:left="1800" w:header="851" w:footer="1077" w:gutter="0"/>
          <w:cols w:space="720" w:num="1"/>
          <w:docGrid w:linePitch="312" w:charSpace="0"/>
        </w:sectPr>
      </w:pPr>
    </w:p>
    <w:p w14:paraId="742B297F">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二、建设内容</w:t>
      </w:r>
    </w:p>
    <w:tbl>
      <w:tblPr>
        <w:tblStyle w:val="1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7F908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vAlign w:val="center"/>
          </w:tcPr>
          <w:p w14:paraId="36E3D85C">
            <w:pPr>
              <w:adjustRightInd w:val="0"/>
              <w:snapToGrid w:val="0"/>
              <w:ind w:firstLine="0" w:firstLineChars="0"/>
              <w:rPr>
                <w:color w:val="auto"/>
                <w:kern w:val="0"/>
              </w:rPr>
            </w:pPr>
            <w:r>
              <w:rPr>
                <w:color w:val="auto"/>
                <w:kern w:val="0"/>
              </w:rPr>
              <w:t>地理位置</w:t>
            </w:r>
          </w:p>
        </w:tc>
        <w:tc>
          <w:tcPr>
            <w:tcW w:w="8380" w:type="dxa"/>
            <w:vAlign w:val="center"/>
          </w:tcPr>
          <w:p w14:paraId="5DF01890">
            <w:pPr>
              <w:ind w:firstLine="480"/>
              <w:rPr>
                <w:color w:val="auto"/>
              </w:rPr>
            </w:pPr>
            <w:r>
              <w:rPr>
                <w:rFonts w:hint="eastAsia"/>
                <w:color w:val="auto"/>
              </w:rPr>
              <w:t>通江县位于四川省巴中市东北部、米仓山东段南麓大巴山缺口处，居北纬</w:t>
            </w:r>
            <w:r>
              <w:rPr>
                <w:color w:val="auto"/>
              </w:rPr>
              <w:t>31</w:t>
            </w:r>
            <w:r>
              <w:rPr>
                <w:rFonts w:hint="eastAsia"/>
                <w:color w:val="auto"/>
              </w:rPr>
              <w:t>°</w:t>
            </w:r>
            <w:r>
              <w:rPr>
                <w:color w:val="auto"/>
              </w:rPr>
              <w:t>39'</w:t>
            </w:r>
            <w:r>
              <w:rPr>
                <w:rFonts w:hint="eastAsia"/>
                <w:color w:val="auto"/>
              </w:rPr>
              <w:t>—</w:t>
            </w:r>
            <w:r>
              <w:rPr>
                <w:color w:val="auto"/>
              </w:rPr>
              <w:t>32</w:t>
            </w:r>
            <w:r>
              <w:rPr>
                <w:rFonts w:hint="eastAsia"/>
                <w:color w:val="auto"/>
              </w:rPr>
              <w:t>°</w:t>
            </w:r>
            <w:r>
              <w:rPr>
                <w:color w:val="auto"/>
              </w:rPr>
              <w:t>34'</w:t>
            </w:r>
            <w:r>
              <w:rPr>
                <w:rFonts w:hint="eastAsia"/>
                <w:color w:val="auto"/>
              </w:rPr>
              <w:t>，东经</w:t>
            </w:r>
            <w:r>
              <w:rPr>
                <w:color w:val="auto"/>
              </w:rPr>
              <w:t>106</w:t>
            </w:r>
            <w:r>
              <w:rPr>
                <w:rFonts w:hint="eastAsia"/>
                <w:color w:val="auto"/>
              </w:rPr>
              <w:t>°</w:t>
            </w:r>
            <w:r>
              <w:rPr>
                <w:color w:val="auto"/>
              </w:rPr>
              <w:t>59'</w:t>
            </w:r>
            <w:r>
              <w:rPr>
                <w:rFonts w:hint="eastAsia"/>
                <w:color w:val="auto"/>
              </w:rPr>
              <w:t>—</w:t>
            </w:r>
            <w:r>
              <w:rPr>
                <w:color w:val="auto"/>
              </w:rPr>
              <w:t>107</w:t>
            </w:r>
            <w:r>
              <w:rPr>
                <w:rFonts w:hint="eastAsia"/>
                <w:color w:val="auto"/>
              </w:rPr>
              <w:t>°</w:t>
            </w:r>
            <w:r>
              <w:rPr>
                <w:color w:val="auto"/>
              </w:rPr>
              <w:t>45'</w:t>
            </w:r>
            <w:r>
              <w:rPr>
                <w:rFonts w:hint="eastAsia"/>
                <w:color w:val="auto"/>
              </w:rPr>
              <w:t>。东接万源市，南邻平昌县，西靠巴州、南江二区县，北连陕西省南郑、西乡、镇巴三区县。县域东西距</w:t>
            </w:r>
            <w:r>
              <w:rPr>
                <w:color w:val="auto"/>
              </w:rPr>
              <w:t>73.3</w:t>
            </w:r>
            <w:r>
              <w:rPr>
                <w:rFonts w:hint="eastAsia"/>
                <w:color w:val="auto"/>
              </w:rPr>
              <w:t>千米，南北距</w:t>
            </w:r>
            <w:r>
              <w:rPr>
                <w:color w:val="auto"/>
              </w:rPr>
              <w:t>98.5</w:t>
            </w:r>
            <w:r>
              <w:rPr>
                <w:rFonts w:hint="eastAsia"/>
                <w:color w:val="auto"/>
              </w:rPr>
              <w:t>千米，辖区面积</w:t>
            </w:r>
            <w:r>
              <w:rPr>
                <w:color w:val="auto"/>
              </w:rPr>
              <w:t>4119.83km</w:t>
            </w:r>
            <w:r>
              <w:rPr>
                <w:color w:val="auto"/>
                <w:vertAlign w:val="superscript"/>
              </w:rPr>
              <w:t>2</w:t>
            </w:r>
            <w:r>
              <w:rPr>
                <w:rFonts w:hint="eastAsia"/>
                <w:color w:val="auto"/>
              </w:rPr>
              <w:t>。</w:t>
            </w:r>
          </w:p>
          <w:p w14:paraId="4988E219">
            <w:pPr>
              <w:ind w:firstLine="480"/>
              <w:rPr>
                <w:color w:val="auto"/>
              </w:rPr>
            </w:pPr>
            <w:r>
              <w:rPr>
                <w:rFonts w:hint="eastAsia"/>
                <w:color w:val="auto"/>
              </w:rPr>
              <w:t>项目区位于通江县铁佛镇，铁佛镇地处川东北低山区，位于通江县境南部，东接平昌县界牌、笔山，南连平昌县邱家、澌滩，西邻广纳、三溪，北抵麻石、东山及平昌县喜神等乡镇，距通江县城</w:t>
            </w:r>
            <w:r>
              <w:rPr>
                <w:color w:val="auto"/>
              </w:rPr>
              <w:t>38</w:t>
            </w:r>
            <w:r>
              <w:rPr>
                <w:rFonts w:hint="eastAsia"/>
                <w:color w:val="auto"/>
              </w:rPr>
              <w:t>公里。全镇幅员面积</w:t>
            </w:r>
            <w:r>
              <w:rPr>
                <w:color w:val="auto"/>
              </w:rPr>
              <w:t>202.85km</w:t>
            </w:r>
            <w:r>
              <w:rPr>
                <w:color w:val="auto"/>
                <w:vertAlign w:val="superscript"/>
              </w:rPr>
              <w:t>2</w:t>
            </w:r>
            <w:r>
              <w:rPr>
                <w:color w:val="auto"/>
              </w:rPr>
              <w:t>。</w:t>
            </w:r>
          </w:p>
          <w:p w14:paraId="5EEB2FAA">
            <w:pPr>
              <w:ind w:firstLine="480"/>
              <w:rPr>
                <w:color w:val="auto"/>
              </w:rPr>
            </w:pPr>
            <w:r>
              <w:rPr>
                <w:color w:val="auto"/>
              </w:rPr>
              <w:t>项目位于通江县铁佛镇，属渠江水系，境内有大通江、澌滩河、廖家河、高桥河、喜神河、王家河等河流分布。境内水库分布较多，均为小型水库。小（一）型水库2座，为流里河水库和澌溪沟水库，小二型水库有澌溪沟水库、王家河水库、东风水库等32座。</w:t>
            </w:r>
          </w:p>
        </w:tc>
      </w:tr>
      <w:tr w14:paraId="44587A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710" w:type="dxa"/>
            <w:vAlign w:val="center"/>
          </w:tcPr>
          <w:p w14:paraId="66A7D49B">
            <w:pPr>
              <w:adjustRightInd w:val="0"/>
              <w:snapToGrid w:val="0"/>
              <w:ind w:firstLine="0" w:firstLineChars="0"/>
              <w:rPr>
                <w:color w:val="auto"/>
                <w:kern w:val="0"/>
              </w:rPr>
            </w:pPr>
            <w:r>
              <w:rPr>
                <w:color w:val="auto"/>
                <w:kern w:val="0"/>
              </w:rPr>
              <w:t>项目组成及规模</w:t>
            </w:r>
          </w:p>
        </w:tc>
        <w:tc>
          <w:tcPr>
            <w:tcW w:w="8380" w:type="dxa"/>
            <w:vAlign w:val="center"/>
          </w:tcPr>
          <w:p w14:paraId="4F943C1D">
            <w:pPr>
              <w:pStyle w:val="3"/>
              <w:ind w:firstLine="482"/>
              <w:rPr>
                <w:color w:val="auto"/>
              </w:rPr>
            </w:pPr>
            <w:r>
              <w:rPr>
                <w:rFonts w:hint="eastAsia"/>
                <w:color w:val="auto"/>
              </w:rPr>
              <w:t>一、</w:t>
            </w:r>
            <w:r>
              <w:rPr>
                <w:color w:val="auto"/>
              </w:rPr>
              <w:t>项目由来</w:t>
            </w:r>
          </w:p>
          <w:p w14:paraId="04D2FD67">
            <w:pPr>
              <w:ind w:firstLine="480"/>
              <w:rPr>
                <w:rFonts w:hint="eastAsia"/>
                <w:color w:val="auto"/>
              </w:rPr>
            </w:pPr>
            <w:r>
              <w:rPr>
                <w:rFonts w:hint="eastAsia"/>
                <w:color w:val="auto"/>
              </w:rPr>
              <w:t>铁佛镇观山坪村、白土垭村、双泉村、白马村是</w:t>
            </w:r>
            <w:r>
              <w:rPr>
                <w:color w:val="auto"/>
              </w:rPr>
              <w:t>清峪口水库</w:t>
            </w:r>
            <w:r>
              <w:rPr>
                <w:rFonts w:hint="eastAsia"/>
                <w:color w:val="auto"/>
              </w:rPr>
              <w:t>工程的移民安置区，截</w:t>
            </w:r>
            <w:r>
              <w:rPr>
                <w:rFonts w:hint="eastAsia"/>
                <w:color w:val="auto"/>
                <w:lang w:eastAsia="zh-CN"/>
              </w:rPr>
              <w:t>至</w:t>
            </w:r>
            <w:bookmarkStart w:id="22" w:name="_GoBack"/>
            <w:bookmarkEnd w:id="22"/>
            <w:r>
              <w:rPr>
                <w:rFonts w:hint="eastAsia"/>
                <w:color w:val="auto"/>
              </w:rPr>
              <w:t>2023年末共有移民448人（观山坪村75人、白土垭村119人、白马村122人、双泉村132人），自移民安置以来，国家先后投入了一定的资金对移民安置进行了后期扶持，移民生产条件得到了极大的改善，但限于移民后期扶持资金的规模一直以来都是对移民后期扶持项目进行小规模的整治，急需将移民安置区的移民户、脱贫户、一般户的生产、生活设施进行提档升级有效衔接乡村振兴发展。本项目建设主要是按照《四川省水利厅关于开展移民后期扶持省级重点项目库建设的通知》（川水函（2024）906号）要求，从根本上解决移民区人民群众的生活用水和生产用水。</w:t>
            </w:r>
          </w:p>
          <w:p w14:paraId="2D501C3B">
            <w:pPr>
              <w:ind w:firstLine="480"/>
              <w:rPr>
                <w:color w:val="auto"/>
              </w:rPr>
            </w:pPr>
            <w:r>
              <w:rPr>
                <w:rFonts w:hint="eastAsia"/>
                <w:color w:val="auto"/>
              </w:rPr>
              <w:t>通江县铁佛镇移民安置区饮水管网及灌溉水利设施建设工程主要解决铁佛镇移民区及其周边村18393人的饮水安全问题及11270亩农田灌溉问题。解决</w:t>
            </w:r>
            <w:r>
              <w:rPr>
                <w:color w:val="auto"/>
              </w:rPr>
              <w:t>观山坪村2000名居民</w:t>
            </w:r>
            <w:r>
              <w:rPr>
                <w:rFonts w:hint="eastAsia"/>
                <w:color w:val="auto"/>
              </w:rPr>
              <w:t>用水以及铁佛至麻石片区16393人的居民用水；解决11270亩农田灌溉问题（其中：其中观山坪村</w:t>
            </w:r>
            <w:r>
              <w:rPr>
                <w:color w:val="auto"/>
              </w:rPr>
              <w:t>1645</w:t>
            </w:r>
            <w:r>
              <w:rPr>
                <w:rFonts w:hint="eastAsia"/>
                <w:color w:val="auto"/>
              </w:rPr>
              <w:t>亩，白土垭村</w:t>
            </w:r>
            <w:r>
              <w:rPr>
                <w:color w:val="auto"/>
              </w:rPr>
              <w:t>1618</w:t>
            </w:r>
            <w:r>
              <w:rPr>
                <w:rFonts w:hint="eastAsia"/>
                <w:color w:val="auto"/>
              </w:rPr>
              <w:t>亩，平坝村</w:t>
            </w:r>
            <w:r>
              <w:rPr>
                <w:color w:val="auto"/>
              </w:rPr>
              <w:t>1288</w:t>
            </w:r>
            <w:r>
              <w:rPr>
                <w:rFonts w:hint="eastAsia"/>
                <w:color w:val="auto"/>
              </w:rPr>
              <w:t>亩，尖包岭村</w:t>
            </w:r>
            <w:r>
              <w:rPr>
                <w:color w:val="auto"/>
              </w:rPr>
              <w:t>1154</w:t>
            </w:r>
            <w:r>
              <w:rPr>
                <w:rFonts w:hint="eastAsia"/>
                <w:color w:val="auto"/>
              </w:rPr>
              <w:t>亩，刘坪社区</w:t>
            </w:r>
            <w:r>
              <w:rPr>
                <w:color w:val="auto"/>
              </w:rPr>
              <w:t>565</w:t>
            </w:r>
            <w:r>
              <w:rPr>
                <w:rFonts w:hint="eastAsia"/>
                <w:color w:val="auto"/>
              </w:rPr>
              <w:t>亩，金斗岩村1000亩，白马村</w:t>
            </w:r>
            <w:r>
              <w:rPr>
                <w:color w:val="auto"/>
              </w:rPr>
              <w:t>2200</w:t>
            </w:r>
            <w:r>
              <w:rPr>
                <w:rFonts w:hint="eastAsia"/>
                <w:color w:val="auto"/>
              </w:rPr>
              <w:t>亩，双泉村</w:t>
            </w:r>
            <w:r>
              <w:rPr>
                <w:color w:val="auto"/>
              </w:rPr>
              <w:t>1800</w:t>
            </w:r>
            <w:r>
              <w:rPr>
                <w:rFonts w:hint="eastAsia"/>
                <w:color w:val="auto"/>
              </w:rPr>
              <w:t>亩）。项目实施后，项目区移民及当地群众饮用水、灌溉水的水质、水量、用水保证率将明显改善。</w:t>
            </w:r>
          </w:p>
          <w:p w14:paraId="7557C5AB">
            <w:pPr>
              <w:adjustRightInd w:val="0"/>
              <w:snapToGrid w:val="0"/>
              <w:ind w:firstLine="480"/>
              <w:rPr>
                <w:color w:val="auto"/>
                <w:kern w:val="0"/>
              </w:rPr>
            </w:pPr>
            <w:r>
              <w:rPr>
                <w:color w:val="auto"/>
                <w:kern w:val="0"/>
              </w:rPr>
              <w:t>为此，</w:t>
            </w:r>
            <w:r>
              <w:rPr>
                <w:rFonts w:hint="eastAsia"/>
                <w:color w:val="auto"/>
                <w:kern w:val="0"/>
              </w:rPr>
              <w:t>通江县水利局专门成立通江县涉水工程移民服务中心解决当地群众</w:t>
            </w:r>
            <w:r>
              <w:rPr>
                <w:rFonts w:hint="eastAsia"/>
                <w:color w:val="auto"/>
              </w:rPr>
              <w:t>饮用水、灌溉水问题。</w:t>
            </w:r>
            <w:r>
              <w:rPr>
                <w:rFonts w:hint="eastAsia"/>
                <w:color w:val="auto"/>
                <w:kern w:val="0"/>
              </w:rPr>
              <w:t>通江县涉水工程移民服务中心</w:t>
            </w:r>
            <w:r>
              <w:rPr>
                <w:color w:val="auto"/>
                <w:kern w:val="0"/>
              </w:rPr>
              <w:t>委托我司（四川</w:t>
            </w:r>
            <w:r>
              <w:rPr>
                <w:rFonts w:hint="eastAsia"/>
                <w:color w:val="auto"/>
                <w:kern w:val="0"/>
              </w:rPr>
              <w:t>翎玥</w:t>
            </w:r>
            <w:r>
              <w:rPr>
                <w:color w:val="auto"/>
                <w:kern w:val="0"/>
              </w:rPr>
              <w:t>环保科技有限公司）进行本项目的环境影响评价工作。接受委托后，我司立即组织技术人员到项目现场进行了实地勘察和调研、收</w:t>
            </w:r>
            <w:r>
              <w:rPr>
                <w:rFonts w:hint="eastAsia"/>
                <w:color w:val="auto"/>
                <w:kern w:val="0"/>
              </w:rPr>
              <w:t>资</w:t>
            </w:r>
            <w:r>
              <w:rPr>
                <w:color w:val="auto"/>
                <w:kern w:val="0"/>
              </w:rPr>
              <w:t>，在完成工程分析和环境影响因素识别的基础上，按照有关法律、法规和“建设项目环境影响报告表编制技术指南</w:t>
            </w:r>
            <w:r>
              <w:rPr>
                <w:rFonts w:hint="eastAsia"/>
                <w:color w:val="auto"/>
                <w:kern w:val="0"/>
              </w:rPr>
              <w:t>（</w:t>
            </w:r>
            <w:r>
              <w:rPr>
                <w:color w:val="auto"/>
                <w:kern w:val="0"/>
              </w:rPr>
              <w:t>生态影响类</w:t>
            </w:r>
            <w:r>
              <w:rPr>
                <w:rFonts w:hint="eastAsia"/>
                <w:color w:val="auto"/>
                <w:kern w:val="0"/>
              </w:rPr>
              <w:t>）（</w:t>
            </w:r>
            <w:r>
              <w:rPr>
                <w:color w:val="auto"/>
                <w:kern w:val="0"/>
              </w:rPr>
              <w:t>试行</w:t>
            </w:r>
            <w:r>
              <w:rPr>
                <w:rFonts w:hint="eastAsia"/>
                <w:color w:val="auto"/>
                <w:kern w:val="0"/>
              </w:rPr>
              <w:t>）</w:t>
            </w:r>
            <w:r>
              <w:rPr>
                <w:color w:val="auto"/>
                <w:kern w:val="0"/>
              </w:rPr>
              <w:t>”等技术规范要求并根据建设单位提供的资料编制完成了《</w:t>
            </w:r>
            <w:r>
              <w:rPr>
                <w:rFonts w:hint="eastAsia"/>
                <w:color w:val="auto"/>
              </w:rPr>
              <w:t>通江县铁佛镇移民安置区饮水管网及灌溉水利设施建设工程</w:t>
            </w:r>
            <w:r>
              <w:rPr>
                <w:color w:val="auto"/>
                <w:kern w:val="0"/>
              </w:rPr>
              <w:t>环境影响报告表》，现上报审批。</w:t>
            </w:r>
          </w:p>
          <w:p w14:paraId="3AF09E1A">
            <w:pPr>
              <w:ind w:firstLine="482"/>
              <w:rPr>
                <w:b/>
                <w:bCs/>
                <w:color w:val="auto"/>
              </w:rPr>
            </w:pPr>
            <w:r>
              <w:rPr>
                <w:rFonts w:hint="eastAsia"/>
                <w:b/>
                <w:bCs/>
                <w:color w:val="auto"/>
              </w:rPr>
              <w:t>二、</w:t>
            </w:r>
            <w:r>
              <w:rPr>
                <w:b/>
                <w:bCs/>
                <w:color w:val="auto"/>
              </w:rPr>
              <w:t>工程任务和规模</w:t>
            </w:r>
          </w:p>
          <w:p w14:paraId="3BEE1A58">
            <w:pPr>
              <w:ind w:firstLine="482"/>
              <w:rPr>
                <w:color w:val="auto"/>
              </w:rPr>
            </w:pPr>
            <w:r>
              <w:rPr>
                <w:rFonts w:hint="eastAsia"/>
                <w:b/>
                <w:bCs/>
                <w:color w:val="auto"/>
              </w:rPr>
              <w:t>1、</w:t>
            </w:r>
            <w:r>
              <w:rPr>
                <w:b/>
                <w:bCs/>
                <w:color w:val="auto"/>
              </w:rPr>
              <w:t>工程任务</w:t>
            </w:r>
          </w:p>
          <w:p w14:paraId="38758613">
            <w:pPr>
              <w:ind w:firstLine="480"/>
              <w:rPr>
                <w:color w:val="auto"/>
              </w:rPr>
            </w:pPr>
            <w:r>
              <w:rPr>
                <w:rFonts w:hint="eastAsia"/>
                <w:color w:val="auto"/>
              </w:rPr>
              <w:t>为解决</w:t>
            </w:r>
            <w:r>
              <w:rPr>
                <w:color w:val="auto"/>
              </w:rPr>
              <w:t>库区和移民安置区发展最突出农村饮水安全和灌溉水源短缺的问题，</w:t>
            </w:r>
            <w:r>
              <w:rPr>
                <w:rFonts w:hint="eastAsia"/>
                <w:color w:val="auto"/>
              </w:rPr>
              <w:t>充分利用现有水源，提出本工程的建设任务为：重点解决</w:t>
            </w:r>
            <w:r>
              <w:rPr>
                <w:color w:val="auto"/>
              </w:rPr>
              <w:t>移民安置区</w:t>
            </w:r>
            <w:r>
              <w:rPr>
                <w:rFonts w:hint="eastAsia"/>
                <w:color w:val="auto"/>
              </w:rPr>
              <w:t>及周边居民供水</w:t>
            </w:r>
            <w:r>
              <w:rPr>
                <w:color w:val="auto"/>
              </w:rPr>
              <w:t>和灌溉用水。</w:t>
            </w:r>
          </w:p>
          <w:p w14:paraId="0FA55428">
            <w:pPr>
              <w:ind w:firstLine="482"/>
              <w:rPr>
                <w:color w:val="auto"/>
              </w:rPr>
            </w:pPr>
            <w:r>
              <w:rPr>
                <w:rFonts w:hint="eastAsia"/>
                <w:b/>
                <w:bCs/>
                <w:color w:val="auto"/>
              </w:rPr>
              <w:t>（1）供水</w:t>
            </w:r>
            <w:r>
              <w:rPr>
                <w:b/>
                <w:bCs/>
                <w:color w:val="auto"/>
              </w:rPr>
              <w:t>：</w:t>
            </w:r>
          </w:p>
          <w:p w14:paraId="549A406C">
            <w:pPr>
              <w:ind w:firstLine="480"/>
              <w:rPr>
                <w:color w:val="auto"/>
              </w:rPr>
            </w:pPr>
            <w:r>
              <w:rPr>
                <w:rFonts w:hint="eastAsia"/>
                <w:color w:val="auto"/>
              </w:rPr>
              <w:t>①流里河水库片区新建输水管网向</w:t>
            </w:r>
            <w:r>
              <w:rPr>
                <w:color w:val="auto"/>
              </w:rPr>
              <w:t>观山坪村2000名居民</w:t>
            </w:r>
            <w:r>
              <w:rPr>
                <w:rFonts w:hint="eastAsia"/>
                <w:color w:val="auto"/>
              </w:rPr>
              <w:t>供水</w:t>
            </w:r>
            <w:r>
              <w:rPr>
                <w:color w:val="auto"/>
              </w:rPr>
              <w:t>；</w:t>
            </w:r>
          </w:p>
          <w:p w14:paraId="3CA64A6C">
            <w:pPr>
              <w:ind w:firstLine="480"/>
              <w:rPr>
                <w:color w:val="auto"/>
              </w:rPr>
            </w:pPr>
            <w:r>
              <w:rPr>
                <w:rFonts w:hint="eastAsia"/>
                <w:color w:val="auto"/>
              </w:rPr>
              <w:t>②王家河水库片区新建王家河~铁佛水厂供水管网，以及铁佛水厂~麻石镇管网延伸，解决16393人居民供水。</w:t>
            </w:r>
          </w:p>
          <w:p w14:paraId="5281ED3F">
            <w:pPr>
              <w:ind w:firstLine="480"/>
              <w:rPr>
                <w:color w:val="auto"/>
              </w:rPr>
            </w:pPr>
            <w:r>
              <w:rPr>
                <w:color w:val="auto"/>
              </w:rPr>
              <w:t>合计向</w:t>
            </w:r>
            <w:r>
              <w:rPr>
                <w:rFonts w:hint="eastAsia"/>
                <w:color w:val="auto"/>
              </w:rPr>
              <w:t>18393人供水，年供水量约66.91万</w:t>
            </w:r>
            <w:r>
              <w:rPr>
                <w:color w:val="auto"/>
              </w:rPr>
              <w:t>m</w:t>
            </w:r>
            <w:r>
              <w:rPr>
                <w:color w:val="auto"/>
                <w:vertAlign w:val="superscript"/>
              </w:rPr>
              <w:t>3</w:t>
            </w:r>
            <w:r>
              <w:rPr>
                <w:rFonts w:hint="eastAsia"/>
                <w:color w:val="auto"/>
                <w:sz w:val="21"/>
              </w:rPr>
              <w:t>。</w:t>
            </w:r>
          </w:p>
          <w:p w14:paraId="5D7765D2">
            <w:pPr>
              <w:ind w:firstLine="482"/>
              <w:rPr>
                <w:color w:val="auto"/>
              </w:rPr>
            </w:pPr>
            <w:r>
              <w:rPr>
                <w:rFonts w:hint="eastAsia"/>
                <w:b/>
                <w:bCs/>
                <w:color w:val="auto"/>
              </w:rPr>
              <w:t>（2）</w:t>
            </w:r>
            <w:r>
              <w:rPr>
                <w:b/>
                <w:bCs/>
                <w:color w:val="auto"/>
              </w:rPr>
              <w:t>农业灌溉：</w:t>
            </w:r>
          </w:p>
          <w:p w14:paraId="488A249F">
            <w:pPr>
              <w:ind w:firstLine="480"/>
              <w:rPr>
                <w:color w:val="auto"/>
              </w:rPr>
            </w:pPr>
            <w:r>
              <w:rPr>
                <w:rFonts w:hint="eastAsia"/>
                <w:color w:val="auto"/>
              </w:rPr>
              <w:t>①流里河水库片区改善</w:t>
            </w:r>
            <w:r>
              <w:rPr>
                <w:color w:val="auto"/>
              </w:rPr>
              <w:t>灌溉面积</w:t>
            </w:r>
            <w:r>
              <w:rPr>
                <w:rFonts w:hint="eastAsia"/>
                <w:color w:val="auto"/>
              </w:rPr>
              <w:t>7270亩。其中</w:t>
            </w:r>
            <w:r>
              <w:rPr>
                <w:color w:val="auto"/>
              </w:rPr>
              <w:t>观山坪村</w:t>
            </w:r>
            <w:r>
              <w:rPr>
                <w:rFonts w:hint="eastAsia"/>
                <w:color w:val="auto"/>
              </w:rPr>
              <w:t>1645</w:t>
            </w:r>
            <w:r>
              <w:rPr>
                <w:color w:val="auto"/>
              </w:rPr>
              <w:t>亩</w:t>
            </w:r>
            <w:r>
              <w:rPr>
                <w:rFonts w:hint="eastAsia"/>
                <w:color w:val="auto"/>
              </w:rPr>
              <w:t>，</w:t>
            </w:r>
            <w:r>
              <w:rPr>
                <w:color w:val="auto"/>
              </w:rPr>
              <w:t>白土垭村</w:t>
            </w:r>
            <w:r>
              <w:rPr>
                <w:rFonts w:hint="eastAsia"/>
                <w:color w:val="auto"/>
              </w:rPr>
              <w:t>1618</w:t>
            </w:r>
            <w:r>
              <w:rPr>
                <w:color w:val="auto"/>
              </w:rPr>
              <w:t>亩</w:t>
            </w:r>
            <w:r>
              <w:rPr>
                <w:rFonts w:hint="eastAsia"/>
                <w:color w:val="auto"/>
              </w:rPr>
              <w:t>，平坝村1288亩，尖包岭村1154亩，刘坪社区565亩，金斗岩村1000亩</w:t>
            </w:r>
            <w:r>
              <w:rPr>
                <w:color w:val="auto"/>
              </w:rPr>
              <w:t>；</w:t>
            </w:r>
          </w:p>
          <w:p w14:paraId="76ABC0D9">
            <w:pPr>
              <w:ind w:firstLine="480"/>
              <w:rPr>
                <w:color w:val="auto"/>
              </w:rPr>
            </w:pPr>
            <w:r>
              <w:rPr>
                <w:rFonts w:hint="eastAsia"/>
                <w:color w:val="auto"/>
              </w:rPr>
              <w:t>②澌溪沟水库片区改善灌溉面积4000亩。其中白马村2200亩，双泉村1800亩。</w:t>
            </w:r>
          </w:p>
          <w:p w14:paraId="361243E9">
            <w:pPr>
              <w:ind w:firstLine="480"/>
              <w:rPr>
                <w:color w:val="auto"/>
              </w:rPr>
            </w:pPr>
            <w:r>
              <w:rPr>
                <w:color w:val="auto"/>
              </w:rPr>
              <w:t>本次灌溉</w:t>
            </w:r>
            <w:r>
              <w:rPr>
                <w:rFonts w:hint="eastAsia"/>
                <w:color w:val="auto"/>
              </w:rPr>
              <w:t>涉及2大片区，</w:t>
            </w:r>
            <w:r>
              <w:rPr>
                <w:color w:val="auto"/>
              </w:rPr>
              <w:t>合计灌溉面积</w:t>
            </w:r>
            <w:r>
              <w:rPr>
                <w:rFonts w:hint="eastAsia"/>
                <w:color w:val="auto"/>
              </w:rPr>
              <w:t>11270亩，全部为恢复灌面，多年平均供水量257.84万</w:t>
            </w:r>
            <w:r>
              <w:rPr>
                <w:color w:val="auto"/>
              </w:rPr>
              <w:t>m</w:t>
            </w:r>
            <w:r>
              <w:rPr>
                <w:color w:val="auto"/>
                <w:vertAlign w:val="superscript"/>
              </w:rPr>
              <w:t>3</w:t>
            </w:r>
            <w:r>
              <w:rPr>
                <w:rFonts w:hint="eastAsia"/>
                <w:color w:val="auto"/>
              </w:rPr>
              <w:t>，约详见下表。</w:t>
            </w:r>
          </w:p>
          <w:p w14:paraId="75C41DE1">
            <w:pPr>
              <w:pStyle w:val="17"/>
              <w:rPr>
                <w:rFonts w:hint="default"/>
                <w:color w:val="auto"/>
              </w:rPr>
            </w:pPr>
            <w:r>
              <w:rPr>
                <w:color w:val="auto"/>
              </w:rPr>
              <w:t>表2-2 本次涉及灌面统计表</w:t>
            </w:r>
          </w:p>
          <w:tbl>
            <w:tblPr>
              <w:tblStyle w:val="12"/>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1966"/>
              <w:gridCol w:w="1863"/>
              <w:gridCol w:w="1647"/>
              <w:gridCol w:w="1647"/>
            </w:tblGrid>
            <w:tr w14:paraId="0CE07B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FBB3194">
                  <w:pPr>
                    <w:pStyle w:val="16"/>
                    <w:jc w:val="center"/>
                    <w:rPr>
                      <w:color w:val="auto"/>
                    </w:rPr>
                  </w:pPr>
                  <w:r>
                    <w:rPr>
                      <w:rFonts w:hint="eastAsia"/>
                      <w:color w:val="auto"/>
                    </w:rPr>
                    <w:t>序号</w:t>
                  </w:r>
                </w:p>
              </w:tc>
              <w:tc>
                <w:tcPr>
                  <w:tcW w:w="1204" w:type="pct"/>
                  <w:tcBorders>
                    <w:tl2br w:val="nil"/>
                    <w:tr2bl w:val="nil"/>
                  </w:tcBorders>
                  <w:vAlign w:val="center"/>
                </w:tcPr>
                <w:p w14:paraId="4B69E9E2">
                  <w:pPr>
                    <w:pStyle w:val="16"/>
                    <w:jc w:val="center"/>
                    <w:rPr>
                      <w:color w:val="auto"/>
                    </w:rPr>
                  </w:pPr>
                  <w:r>
                    <w:rPr>
                      <w:rFonts w:hint="eastAsia"/>
                      <w:color w:val="auto"/>
                    </w:rPr>
                    <w:t>分区</w:t>
                  </w:r>
                </w:p>
              </w:tc>
              <w:tc>
                <w:tcPr>
                  <w:tcW w:w="1139" w:type="pct"/>
                  <w:tcBorders>
                    <w:tl2br w:val="nil"/>
                    <w:tr2bl w:val="nil"/>
                  </w:tcBorders>
                  <w:vAlign w:val="center"/>
                </w:tcPr>
                <w:p w14:paraId="393E6B54">
                  <w:pPr>
                    <w:pStyle w:val="16"/>
                    <w:jc w:val="center"/>
                    <w:rPr>
                      <w:color w:val="auto"/>
                    </w:rPr>
                  </w:pPr>
                  <w:r>
                    <w:rPr>
                      <w:rFonts w:hint="eastAsia"/>
                      <w:color w:val="auto"/>
                    </w:rPr>
                    <w:t>涉及村</w:t>
                  </w:r>
                </w:p>
              </w:tc>
              <w:tc>
                <w:tcPr>
                  <w:tcW w:w="1008" w:type="pct"/>
                  <w:tcBorders>
                    <w:tl2br w:val="nil"/>
                    <w:tr2bl w:val="nil"/>
                  </w:tcBorders>
                  <w:vAlign w:val="center"/>
                </w:tcPr>
                <w:p w14:paraId="2AA84265">
                  <w:pPr>
                    <w:pStyle w:val="16"/>
                    <w:jc w:val="center"/>
                    <w:rPr>
                      <w:color w:val="auto"/>
                    </w:rPr>
                  </w:pPr>
                  <w:r>
                    <w:rPr>
                      <w:rFonts w:hint="eastAsia"/>
                      <w:color w:val="auto"/>
                    </w:rPr>
                    <w:t>灌面（亩）</w:t>
                  </w:r>
                </w:p>
              </w:tc>
              <w:tc>
                <w:tcPr>
                  <w:tcW w:w="1008" w:type="pct"/>
                  <w:tcBorders>
                    <w:tl2br w:val="nil"/>
                    <w:tr2bl w:val="nil"/>
                  </w:tcBorders>
                  <w:vAlign w:val="center"/>
                </w:tcPr>
                <w:p w14:paraId="1407DE1B">
                  <w:pPr>
                    <w:pStyle w:val="16"/>
                    <w:jc w:val="center"/>
                    <w:rPr>
                      <w:color w:val="auto"/>
                    </w:rPr>
                  </w:pPr>
                  <w:r>
                    <w:rPr>
                      <w:rFonts w:hint="eastAsia"/>
                      <w:color w:val="auto"/>
                    </w:rPr>
                    <w:t>备注</w:t>
                  </w:r>
                </w:p>
              </w:tc>
            </w:tr>
            <w:tr w14:paraId="69B52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1AE4AD4D">
                  <w:pPr>
                    <w:pStyle w:val="16"/>
                    <w:jc w:val="center"/>
                    <w:rPr>
                      <w:color w:val="auto"/>
                    </w:rPr>
                  </w:pPr>
                  <w:r>
                    <w:rPr>
                      <w:rFonts w:hint="eastAsia"/>
                      <w:color w:val="auto"/>
                    </w:rPr>
                    <w:t>1</w:t>
                  </w:r>
                </w:p>
              </w:tc>
              <w:tc>
                <w:tcPr>
                  <w:tcW w:w="1204" w:type="pct"/>
                  <w:vMerge w:val="restart"/>
                  <w:tcBorders>
                    <w:tl2br w:val="nil"/>
                    <w:tr2bl w:val="nil"/>
                  </w:tcBorders>
                  <w:noWrap/>
                  <w:vAlign w:val="center"/>
                </w:tcPr>
                <w:p w14:paraId="51D92A27">
                  <w:pPr>
                    <w:pStyle w:val="16"/>
                    <w:jc w:val="center"/>
                    <w:rPr>
                      <w:color w:val="auto"/>
                    </w:rPr>
                  </w:pPr>
                  <w:r>
                    <w:rPr>
                      <w:rFonts w:hint="eastAsia"/>
                      <w:color w:val="auto"/>
                    </w:rPr>
                    <w:t>流里河片区</w:t>
                  </w:r>
                </w:p>
              </w:tc>
              <w:tc>
                <w:tcPr>
                  <w:tcW w:w="1139" w:type="pct"/>
                  <w:tcBorders>
                    <w:tl2br w:val="nil"/>
                    <w:tr2bl w:val="nil"/>
                  </w:tcBorders>
                  <w:vAlign w:val="center"/>
                </w:tcPr>
                <w:p w14:paraId="13330971">
                  <w:pPr>
                    <w:pStyle w:val="16"/>
                    <w:jc w:val="center"/>
                    <w:rPr>
                      <w:color w:val="auto"/>
                    </w:rPr>
                  </w:pPr>
                  <w:r>
                    <w:rPr>
                      <w:rFonts w:hint="eastAsia"/>
                      <w:color w:val="auto"/>
                    </w:rPr>
                    <w:t>观山坪村</w:t>
                  </w:r>
                </w:p>
              </w:tc>
              <w:tc>
                <w:tcPr>
                  <w:tcW w:w="1008" w:type="pct"/>
                  <w:tcBorders>
                    <w:tl2br w:val="nil"/>
                    <w:tr2bl w:val="nil"/>
                  </w:tcBorders>
                  <w:noWrap/>
                  <w:vAlign w:val="center"/>
                </w:tcPr>
                <w:p w14:paraId="27FDDD6A">
                  <w:pPr>
                    <w:pStyle w:val="16"/>
                    <w:jc w:val="center"/>
                    <w:rPr>
                      <w:color w:val="auto"/>
                    </w:rPr>
                  </w:pPr>
                  <w:r>
                    <w:rPr>
                      <w:rFonts w:hint="eastAsia"/>
                      <w:color w:val="auto"/>
                    </w:rPr>
                    <w:t>1645</w:t>
                  </w:r>
                </w:p>
              </w:tc>
              <w:tc>
                <w:tcPr>
                  <w:tcW w:w="1008" w:type="pct"/>
                  <w:tcBorders>
                    <w:tl2br w:val="nil"/>
                    <w:tr2bl w:val="nil"/>
                  </w:tcBorders>
                  <w:vAlign w:val="center"/>
                </w:tcPr>
                <w:p w14:paraId="5123E92C">
                  <w:pPr>
                    <w:pStyle w:val="16"/>
                    <w:jc w:val="center"/>
                    <w:rPr>
                      <w:color w:val="auto"/>
                    </w:rPr>
                  </w:pPr>
                  <w:r>
                    <w:rPr>
                      <w:rFonts w:hint="eastAsia"/>
                      <w:color w:val="auto"/>
                    </w:rPr>
                    <w:t>恢复灌面</w:t>
                  </w:r>
                </w:p>
              </w:tc>
            </w:tr>
            <w:tr w14:paraId="4E051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660AEDDD">
                  <w:pPr>
                    <w:pStyle w:val="16"/>
                    <w:jc w:val="center"/>
                    <w:rPr>
                      <w:color w:val="auto"/>
                    </w:rPr>
                  </w:pPr>
                  <w:r>
                    <w:rPr>
                      <w:rFonts w:hint="eastAsia"/>
                      <w:color w:val="auto"/>
                    </w:rPr>
                    <w:t>2</w:t>
                  </w:r>
                </w:p>
              </w:tc>
              <w:tc>
                <w:tcPr>
                  <w:tcW w:w="1204" w:type="pct"/>
                  <w:vMerge w:val="continue"/>
                  <w:tcBorders>
                    <w:tl2br w:val="nil"/>
                    <w:tr2bl w:val="nil"/>
                  </w:tcBorders>
                  <w:vAlign w:val="center"/>
                </w:tcPr>
                <w:p w14:paraId="4C541219">
                  <w:pPr>
                    <w:pStyle w:val="16"/>
                    <w:rPr>
                      <w:color w:val="auto"/>
                    </w:rPr>
                  </w:pPr>
                </w:p>
              </w:tc>
              <w:tc>
                <w:tcPr>
                  <w:tcW w:w="1139" w:type="pct"/>
                  <w:tcBorders>
                    <w:tl2br w:val="nil"/>
                    <w:tr2bl w:val="nil"/>
                  </w:tcBorders>
                  <w:vAlign w:val="center"/>
                </w:tcPr>
                <w:p w14:paraId="5047289D">
                  <w:pPr>
                    <w:pStyle w:val="16"/>
                    <w:jc w:val="center"/>
                    <w:rPr>
                      <w:color w:val="auto"/>
                    </w:rPr>
                  </w:pPr>
                  <w:r>
                    <w:rPr>
                      <w:rFonts w:hint="eastAsia"/>
                      <w:color w:val="auto"/>
                    </w:rPr>
                    <w:t>白土垭村</w:t>
                  </w:r>
                </w:p>
              </w:tc>
              <w:tc>
                <w:tcPr>
                  <w:tcW w:w="1008" w:type="pct"/>
                  <w:tcBorders>
                    <w:tl2br w:val="nil"/>
                    <w:tr2bl w:val="nil"/>
                  </w:tcBorders>
                  <w:noWrap/>
                  <w:vAlign w:val="center"/>
                </w:tcPr>
                <w:p w14:paraId="54EDFF94">
                  <w:pPr>
                    <w:pStyle w:val="16"/>
                    <w:jc w:val="center"/>
                    <w:rPr>
                      <w:color w:val="auto"/>
                    </w:rPr>
                  </w:pPr>
                  <w:r>
                    <w:rPr>
                      <w:rFonts w:hint="eastAsia"/>
                      <w:color w:val="auto"/>
                    </w:rPr>
                    <w:t>1618</w:t>
                  </w:r>
                </w:p>
              </w:tc>
              <w:tc>
                <w:tcPr>
                  <w:tcW w:w="1008" w:type="pct"/>
                  <w:tcBorders>
                    <w:tl2br w:val="nil"/>
                    <w:tr2bl w:val="nil"/>
                  </w:tcBorders>
                  <w:vAlign w:val="center"/>
                </w:tcPr>
                <w:p w14:paraId="4972A3DC">
                  <w:pPr>
                    <w:pStyle w:val="16"/>
                    <w:jc w:val="center"/>
                    <w:rPr>
                      <w:color w:val="auto"/>
                    </w:rPr>
                  </w:pPr>
                  <w:r>
                    <w:rPr>
                      <w:rFonts w:hint="eastAsia"/>
                      <w:color w:val="auto"/>
                    </w:rPr>
                    <w:t>恢复灌面</w:t>
                  </w:r>
                </w:p>
              </w:tc>
            </w:tr>
            <w:tr w14:paraId="7FFB3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34B4B56A">
                  <w:pPr>
                    <w:pStyle w:val="16"/>
                    <w:jc w:val="center"/>
                    <w:rPr>
                      <w:color w:val="auto"/>
                    </w:rPr>
                  </w:pPr>
                  <w:r>
                    <w:rPr>
                      <w:rFonts w:hint="eastAsia"/>
                      <w:color w:val="auto"/>
                    </w:rPr>
                    <w:t>3</w:t>
                  </w:r>
                </w:p>
              </w:tc>
              <w:tc>
                <w:tcPr>
                  <w:tcW w:w="1204" w:type="pct"/>
                  <w:vMerge w:val="continue"/>
                  <w:tcBorders>
                    <w:tl2br w:val="nil"/>
                    <w:tr2bl w:val="nil"/>
                  </w:tcBorders>
                  <w:vAlign w:val="center"/>
                </w:tcPr>
                <w:p w14:paraId="13A07662">
                  <w:pPr>
                    <w:pStyle w:val="16"/>
                    <w:rPr>
                      <w:color w:val="auto"/>
                    </w:rPr>
                  </w:pPr>
                </w:p>
              </w:tc>
              <w:tc>
                <w:tcPr>
                  <w:tcW w:w="1139" w:type="pct"/>
                  <w:tcBorders>
                    <w:tl2br w:val="nil"/>
                    <w:tr2bl w:val="nil"/>
                  </w:tcBorders>
                  <w:vAlign w:val="center"/>
                </w:tcPr>
                <w:p w14:paraId="0DEA3D09">
                  <w:pPr>
                    <w:pStyle w:val="16"/>
                    <w:jc w:val="center"/>
                    <w:rPr>
                      <w:color w:val="auto"/>
                    </w:rPr>
                  </w:pPr>
                  <w:r>
                    <w:rPr>
                      <w:rFonts w:hint="eastAsia"/>
                      <w:color w:val="auto"/>
                    </w:rPr>
                    <w:t>平坝村</w:t>
                  </w:r>
                </w:p>
              </w:tc>
              <w:tc>
                <w:tcPr>
                  <w:tcW w:w="1008" w:type="pct"/>
                  <w:tcBorders>
                    <w:tl2br w:val="nil"/>
                    <w:tr2bl w:val="nil"/>
                  </w:tcBorders>
                  <w:noWrap/>
                  <w:vAlign w:val="center"/>
                </w:tcPr>
                <w:p w14:paraId="6E3434EB">
                  <w:pPr>
                    <w:pStyle w:val="16"/>
                    <w:jc w:val="center"/>
                    <w:rPr>
                      <w:color w:val="auto"/>
                    </w:rPr>
                  </w:pPr>
                  <w:r>
                    <w:rPr>
                      <w:rFonts w:hint="eastAsia"/>
                      <w:color w:val="auto"/>
                    </w:rPr>
                    <w:t>1288</w:t>
                  </w:r>
                </w:p>
              </w:tc>
              <w:tc>
                <w:tcPr>
                  <w:tcW w:w="1008" w:type="pct"/>
                  <w:tcBorders>
                    <w:tl2br w:val="nil"/>
                    <w:tr2bl w:val="nil"/>
                  </w:tcBorders>
                  <w:vAlign w:val="center"/>
                </w:tcPr>
                <w:p w14:paraId="63DF137B">
                  <w:pPr>
                    <w:pStyle w:val="16"/>
                    <w:jc w:val="center"/>
                    <w:rPr>
                      <w:color w:val="auto"/>
                    </w:rPr>
                  </w:pPr>
                  <w:r>
                    <w:rPr>
                      <w:rFonts w:hint="eastAsia"/>
                      <w:color w:val="auto"/>
                    </w:rPr>
                    <w:t>恢复灌面</w:t>
                  </w:r>
                </w:p>
              </w:tc>
            </w:tr>
            <w:tr w14:paraId="16F94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6357EDF8">
                  <w:pPr>
                    <w:pStyle w:val="16"/>
                    <w:jc w:val="center"/>
                    <w:rPr>
                      <w:color w:val="auto"/>
                    </w:rPr>
                  </w:pPr>
                  <w:r>
                    <w:rPr>
                      <w:rFonts w:hint="eastAsia"/>
                      <w:color w:val="auto"/>
                    </w:rPr>
                    <w:t>4</w:t>
                  </w:r>
                </w:p>
              </w:tc>
              <w:tc>
                <w:tcPr>
                  <w:tcW w:w="1204" w:type="pct"/>
                  <w:vMerge w:val="continue"/>
                  <w:tcBorders>
                    <w:tl2br w:val="nil"/>
                    <w:tr2bl w:val="nil"/>
                  </w:tcBorders>
                  <w:vAlign w:val="center"/>
                </w:tcPr>
                <w:p w14:paraId="3F51319D">
                  <w:pPr>
                    <w:pStyle w:val="16"/>
                    <w:rPr>
                      <w:color w:val="auto"/>
                    </w:rPr>
                  </w:pPr>
                </w:p>
              </w:tc>
              <w:tc>
                <w:tcPr>
                  <w:tcW w:w="1139" w:type="pct"/>
                  <w:tcBorders>
                    <w:tl2br w:val="nil"/>
                    <w:tr2bl w:val="nil"/>
                  </w:tcBorders>
                  <w:vAlign w:val="center"/>
                </w:tcPr>
                <w:p w14:paraId="28E92ACE">
                  <w:pPr>
                    <w:pStyle w:val="16"/>
                    <w:jc w:val="center"/>
                    <w:rPr>
                      <w:color w:val="auto"/>
                    </w:rPr>
                  </w:pPr>
                  <w:r>
                    <w:rPr>
                      <w:rFonts w:hint="eastAsia"/>
                      <w:color w:val="auto"/>
                    </w:rPr>
                    <w:t>尖包岭村</w:t>
                  </w:r>
                </w:p>
              </w:tc>
              <w:tc>
                <w:tcPr>
                  <w:tcW w:w="1008" w:type="pct"/>
                  <w:tcBorders>
                    <w:tl2br w:val="nil"/>
                    <w:tr2bl w:val="nil"/>
                  </w:tcBorders>
                  <w:noWrap/>
                  <w:vAlign w:val="center"/>
                </w:tcPr>
                <w:p w14:paraId="141BE15A">
                  <w:pPr>
                    <w:pStyle w:val="16"/>
                    <w:jc w:val="center"/>
                    <w:rPr>
                      <w:color w:val="auto"/>
                    </w:rPr>
                  </w:pPr>
                  <w:r>
                    <w:rPr>
                      <w:rFonts w:hint="eastAsia"/>
                      <w:color w:val="auto"/>
                    </w:rPr>
                    <w:t>1154</w:t>
                  </w:r>
                </w:p>
              </w:tc>
              <w:tc>
                <w:tcPr>
                  <w:tcW w:w="1008" w:type="pct"/>
                  <w:tcBorders>
                    <w:tl2br w:val="nil"/>
                    <w:tr2bl w:val="nil"/>
                  </w:tcBorders>
                  <w:vAlign w:val="center"/>
                </w:tcPr>
                <w:p w14:paraId="0CA0FC3C">
                  <w:pPr>
                    <w:pStyle w:val="16"/>
                    <w:jc w:val="center"/>
                    <w:rPr>
                      <w:color w:val="auto"/>
                    </w:rPr>
                  </w:pPr>
                  <w:r>
                    <w:rPr>
                      <w:rFonts w:hint="eastAsia"/>
                      <w:color w:val="auto"/>
                    </w:rPr>
                    <w:t>恢复灌面</w:t>
                  </w:r>
                </w:p>
              </w:tc>
            </w:tr>
            <w:tr w14:paraId="0F35B5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4656471">
                  <w:pPr>
                    <w:pStyle w:val="16"/>
                    <w:jc w:val="center"/>
                    <w:rPr>
                      <w:color w:val="auto"/>
                    </w:rPr>
                  </w:pPr>
                  <w:r>
                    <w:rPr>
                      <w:rFonts w:hint="eastAsia"/>
                      <w:color w:val="auto"/>
                    </w:rPr>
                    <w:t>5</w:t>
                  </w:r>
                </w:p>
              </w:tc>
              <w:tc>
                <w:tcPr>
                  <w:tcW w:w="1204" w:type="pct"/>
                  <w:vMerge w:val="continue"/>
                  <w:tcBorders>
                    <w:tl2br w:val="nil"/>
                    <w:tr2bl w:val="nil"/>
                  </w:tcBorders>
                  <w:vAlign w:val="center"/>
                </w:tcPr>
                <w:p w14:paraId="70CB3637">
                  <w:pPr>
                    <w:pStyle w:val="16"/>
                    <w:rPr>
                      <w:color w:val="auto"/>
                    </w:rPr>
                  </w:pPr>
                </w:p>
              </w:tc>
              <w:tc>
                <w:tcPr>
                  <w:tcW w:w="1139" w:type="pct"/>
                  <w:tcBorders>
                    <w:tl2br w:val="nil"/>
                    <w:tr2bl w:val="nil"/>
                  </w:tcBorders>
                  <w:vAlign w:val="center"/>
                </w:tcPr>
                <w:p w14:paraId="3EEBBCDD">
                  <w:pPr>
                    <w:pStyle w:val="16"/>
                    <w:jc w:val="center"/>
                    <w:rPr>
                      <w:color w:val="auto"/>
                    </w:rPr>
                  </w:pPr>
                  <w:r>
                    <w:rPr>
                      <w:rFonts w:hint="eastAsia"/>
                      <w:color w:val="auto"/>
                    </w:rPr>
                    <w:t>刘坪社区</w:t>
                  </w:r>
                </w:p>
              </w:tc>
              <w:tc>
                <w:tcPr>
                  <w:tcW w:w="1008" w:type="pct"/>
                  <w:tcBorders>
                    <w:tl2br w:val="nil"/>
                    <w:tr2bl w:val="nil"/>
                  </w:tcBorders>
                  <w:noWrap/>
                  <w:vAlign w:val="center"/>
                </w:tcPr>
                <w:p w14:paraId="74B93EE0">
                  <w:pPr>
                    <w:pStyle w:val="16"/>
                    <w:jc w:val="center"/>
                    <w:rPr>
                      <w:color w:val="auto"/>
                    </w:rPr>
                  </w:pPr>
                  <w:r>
                    <w:rPr>
                      <w:rFonts w:hint="eastAsia"/>
                      <w:color w:val="auto"/>
                    </w:rPr>
                    <w:t>565</w:t>
                  </w:r>
                </w:p>
              </w:tc>
              <w:tc>
                <w:tcPr>
                  <w:tcW w:w="1008" w:type="pct"/>
                  <w:tcBorders>
                    <w:tl2br w:val="nil"/>
                    <w:tr2bl w:val="nil"/>
                  </w:tcBorders>
                  <w:vAlign w:val="center"/>
                </w:tcPr>
                <w:p w14:paraId="01AE1A5B">
                  <w:pPr>
                    <w:pStyle w:val="16"/>
                    <w:jc w:val="center"/>
                    <w:rPr>
                      <w:color w:val="auto"/>
                    </w:rPr>
                  </w:pPr>
                  <w:r>
                    <w:rPr>
                      <w:rFonts w:hint="eastAsia"/>
                      <w:color w:val="auto"/>
                    </w:rPr>
                    <w:t>恢复灌面</w:t>
                  </w:r>
                </w:p>
              </w:tc>
            </w:tr>
            <w:tr w14:paraId="00A50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1A86A209">
                  <w:pPr>
                    <w:pStyle w:val="16"/>
                    <w:jc w:val="center"/>
                    <w:rPr>
                      <w:color w:val="auto"/>
                    </w:rPr>
                  </w:pPr>
                  <w:r>
                    <w:rPr>
                      <w:rFonts w:hint="eastAsia"/>
                      <w:color w:val="auto"/>
                    </w:rPr>
                    <w:t>6</w:t>
                  </w:r>
                </w:p>
              </w:tc>
              <w:tc>
                <w:tcPr>
                  <w:tcW w:w="1204" w:type="pct"/>
                  <w:vMerge w:val="continue"/>
                  <w:tcBorders>
                    <w:tl2br w:val="nil"/>
                    <w:tr2bl w:val="nil"/>
                  </w:tcBorders>
                  <w:vAlign w:val="center"/>
                </w:tcPr>
                <w:p w14:paraId="3A02FFFF">
                  <w:pPr>
                    <w:pStyle w:val="16"/>
                    <w:rPr>
                      <w:color w:val="auto"/>
                    </w:rPr>
                  </w:pPr>
                </w:p>
              </w:tc>
              <w:tc>
                <w:tcPr>
                  <w:tcW w:w="1139" w:type="pct"/>
                  <w:tcBorders>
                    <w:tl2br w:val="nil"/>
                    <w:tr2bl w:val="nil"/>
                  </w:tcBorders>
                  <w:vAlign w:val="center"/>
                </w:tcPr>
                <w:p w14:paraId="2023B37A">
                  <w:pPr>
                    <w:pStyle w:val="16"/>
                    <w:jc w:val="center"/>
                    <w:rPr>
                      <w:color w:val="auto"/>
                    </w:rPr>
                  </w:pPr>
                  <w:r>
                    <w:rPr>
                      <w:rFonts w:hint="eastAsia"/>
                      <w:color w:val="auto"/>
                    </w:rPr>
                    <w:t>金斗岩村</w:t>
                  </w:r>
                </w:p>
              </w:tc>
              <w:tc>
                <w:tcPr>
                  <w:tcW w:w="1008" w:type="pct"/>
                  <w:tcBorders>
                    <w:tl2br w:val="nil"/>
                    <w:tr2bl w:val="nil"/>
                  </w:tcBorders>
                  <w:noWrap/>
                  <w:vAlign w:val="center"/>
                </w:tcPr>
                <w:p w14:paraId="14A920FF">
                  <w:pPr>
                    <w:pStyle w:val="16"/>
                    <w:jc w:val="center"/>
                    <w:rPr>
                      <w:color w:val="auto"/>
                    </w:rPr>
                  </w:pPr>
                  <w:r>
                    <w:rPr>
                      <w:rFonts w:hint="eastAsia"/>
                      <w:color w:val="auto"/>
                    </w:rPr>
                    <w:t>1000</w:t>
                  </w:r>
                </w:p>
              </w:tc>
              <w:tc>
                <w:tcPr>
                  <w:tcW w:w="1008" w:type="pct"/>
                  <w:tcBorders>
                    <w:tl2br w:val="nil"/>
                    <w:tr2bl w:val="nil"/>
                  </w:tcBorders>
                  <w:vAlign w:val="center"/>
                </w:tcPr>
                <w:p w14:paraId="376389AA">
                  <w:pPr>
                    <w:pStyle w:val="16"/>
                    <w:jc w:val="center"/>
                    <w:rPr>
                      <w:color w:val="auto"/>
                    </w:rPr>
                  </w:pPr>
                  <w:r>
                    <w:rPr>
                      <w:rFonts w:hint="eastAsia"/>
                      <w:color w:val="auto"/>
                    </w:rPr>
                    <w:t>恢复灌面</w:t>
                  </w:r>
                </w:p>
              </w:tc>
            </w:tr>
            <w:tr w14:paraId="067756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56EFEB4C">
                  <w:pPr>
                    <w:pStyle w:val="16"/>
                    <w:jc w:val="center"/>
                    <w:rPr>
                      <w:color w:val="auto"/>
                    </w:rPr>
                  </w:pPr>
                  <w:r>
                    <w:rPr>
                      <w:rFonts w:hint="eastAsia"/>
                      <w:color w:val="auto"/>
                    </w:rPr>
                    <w:t>7</w:t>
                  </w:r>
                </w:p>
              </w:tc>
              <w:tc>
                <w:tcPr>
                  <w:tcW w:w="1204" w:type="pct"/>
                  <w:vMerge w:val="continue"/>
                  <w:tcBorders>
                    <w:tl2br w:val="nil"/>
                    <w:tr2bl w:val="nil"/>
                  </w:tcBorders>
                  <w:vAlign w:val="center"/>
                </w:tcPr>
                <w:p w14:paraId="4D22B4F3">
                  <w:pPr>
                    <w:pStyle w:val="16"/>
                    <w:rPr>
                      <w:color w:val="auto"/>
                    </w:rPr>
                  </w:pPr>
                </w:p>
              </w:tc>
              <w:tc>
                <w:tcPr>
                  <w:tcW w:w="1139" w:type="pct"/>
                  <w:tcBorders>
                    <w:tl2br w:val="nil"/>
                    <w:tr2bl w:val="nil"/>
                  </w:tcBorders>
                  <w:noWrap/>
                  <w:vAlign w:val="center"/>
                </w:tcPr>
                <w:p w14:paraId="4784BAA0">
                  <w:pPr>
                    <w:pStyle w:val="16"/>
                    <w:jc w:val="center"/>
                    <w:rPr>
                      <w:color w:val="auto"/>
                    </w:rPr>
                  </w:pPr>
                  <w:r>
                    <w:rPr>
                      <w:rFonts w:hint="eastAsia"/>
                      <w:color w:val="auto"/>
                    </w:rPr>
                    <w:t>小计</w:t>
                  </w:r>
                </w:p>
              </w:tc>
              <w:tc>
                <w:tcPr>
                  <w:tcW w:w="1008" w:type="pct"/>
                  <w:tcBorders>
                    <w:tl2br w:val="nil"/>
                    <w:tr2bl w:val="nil"/>
                  </w:tcBorders>
                  <w:noWrap/>
                  <w:vAlign w:val="center"/>
                </w:tcPr>
                <w:p w14:paraId="49F858A0">
                  <w:pPr>
                    <w:pStyle w:val="16"/>
                    <w:jc w:val="center"/>
                    <w:rPr>
                      <w:color w:val="auto"/>
                    </w:rPr>
                  </w:pPr>
                  <w:r>
                    <w:rPr>
                      <w:rFonts w:hint="eastAsia"/>
                      <w:color w:val="auto"/>
                    </w:rPr>
                    <w:t>7270</w:t>
                  </w:r>
                </w:p>
              </w:tc>
              <w:tc>
                <w:tcPr>
                  <w:tcW w:w="1008" w:type="pct"/>
                  <w:tcBorders>
                    <w:tl2br w:val="nil"/>
                    <w:tr2bl w:val="nil"/>
                  </w:tcBorders>
                  <w:vAlign w:val="center"/>
                </w:tcPr>
                <w:p w14:paraId="576CDD6C">
                  <w:pPr>
                    <w:pStyle w:val="16"/>
                    <w:jc w:val="center"/>
                    <w:rPr>
                      <w:color w:val="auto"/>
                    </w:rPr>
                  </w:pPr>
                  <w:r>
                    <w:rPr>
                      <w:rFonts w:hint="eastAsia"/>
                      <w:color w:val="auto"/>
                    </w:rPr>
                    <w:t>恢复灌面</w:t>
                  </w:r>
                </w:p>
              </w:tc>
            </w:tr>
            <w:tr w14:paraId="749564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2B356D55">
                  <w:pPr>
                    <w:pStyle w:val="16"/>
                    <w:jc w:val="center"/>
                    <w:rPr>
                      <w:color w:val="auto"/>
                    </w:rPr>
                  </w:pPr>
                  <w:r>
                    <w:rPr>
                      <w:rFonts w:hint="eastAsia"/>
                      <w:color w:val="auto"/>
                    </w:rPr>
                    <w:t>8</w:t>
                  </w:r>
                </w:p>
              </w:tc>
              <w:tc>
                <w:tcPr>
                  <w:tcW w:w="1204" w:type="pct"/>
                  <w:vMerge w:val="restart"/>
                  <w:tcBorders>
                    <w:tl2br w:val="nil"/>
                    <w:tr2bl w:val="nil"/>
                  </w:tcBorders>
                  <w:vAlign w:val="center"/>
                </w:tcPr>
                <w:p w14:paraId="3BB02EAB">
                  <w:pPr>
                    <w:pStyle w:val="16"/>
                    <w:jc w:val="center"/>
                    <w:rPr>
                      <w:color w:val="auto"/>
                    </w:rPr>
                  </w:pPr>
                  <w:r>
                    <w:rPr>
                      <w:rFonts w:hint="eastAsia"/>
                      <w:color w:val="auto"/>
                    </w:rPr>
                    <w:t>澌溪沟水库片区</w:t>
                  </w:r>
                </w:p>
              </w:tc>
              <w:tc>
                <w:tcPr>
                  <w:tcW w:w="1139" w:type="pct"/>
                  <w:tcBorders>
                    <w:tl2br w:val="nil"/>
                    <w:tr2bl w:val="nil"/>
                  </w:tcBorders>
                  <w:vAlign w:val="center"/>
                </w:tcPr>
                <w:p w14:paraId="70FB3953">
                  <w:pPr>
                    <w:pStyle w:val="16"/>
                    <w:jc w:val="center"/>
                    <w:rPr>
                      <w:color w:val="auto"/>
                    </w:rPr>
                  </w:pPr>
                  <w:r>
                    <w:rPr>
                      <w:rFonts w:hint="eastAsia"/>
                      <w:color w:val="auto"/>
                    </w:rPr>
                    <w:t>白马村</w:t>
                  </w:r>
                </w:p>
              </w:tc>
              <w:tc>
                <w:tcPr>
                  <w:tcW w:w="1008" w:type="pct"/>
                  <w:tcBorders>
                    <w:tl2br w:val="nil"/>
                    <w:tr2bl w:val="nil"/>
                  </w:tcBorders>
                  <w:noWrap/>
                  <w:vAlign w:val="center"/>
                </w:tcPr>
                <w:p w14:paraId="70D311DF">
                  <w:pPr>
                    <w:pStyle w:val="16"/>
                    <w:jc w:val="center"/>
                    <w:rPr>
                      <w:color w:val="auto"/>
                    </w:rPr>
                  </w:pPr>
                  <w:r>
                    <w:rPr>
                      <w:rFonts w:hint="eastAsia"/>
                      <w:color w:val="auto"/>
                    </w:rPr>
                    <w:t>2200</w:t>
                  </w:r>
                </w:p>
              </w:tc>
              <w:tc>
                <w:tcPr>
                  <w:tcW w:w="1008" w:type="pct"/>
                  <w:tcBorders>
                    <w:tl2br w:val="nil"/>
                    <w:tr2bl w:val="nil"/>
                  </w:tcBorders>
                  <w:vAlign w:val="center"/>
                </w:tcPr>
                <w:p w14:paraId="6C61876D">
                  <w:pPr>
                    <w:pStyle w:val="16"/>
                    <w:jc w:val="center"/>
                    <w:rPr>
                      <w:color w:val="auto"/>
                    </w:rPr>
                  </w:pPr>
                  <w:r>
                    <w:rPr>
                      <w:rFonts w:hint="eastAsia"/>
                      <w:color w:val="auto"/>
                    </w:rPr>
                    <w:t>恢复灌面</w:t>
                  </w:r>
                </w:p>
              </w:tc>
            </w:tr>
            <w:tr w14:paraId="62CF2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2244E37F">
                  <w:pPr>
                    <w:pStyle w:val="16"/>
                    <w:jc w:val="center"/>
                    <w:rPr>
                      <w:color w:val="auto"/>
                    </w:rPr>
                  </w:pPr>
                  <w:r>
                    <w:rPr>
                      <w:rFonts w:hint="eastAsia"/>
                      <w:color w:val="auto"/>
                    </w:rPr>
                    <w:t>9</w:t>
                  </w:r>
                </w:p>
              </w:tc>
              <w:tc>
                <w:tcPr>
                  <w:tcW w:w="1204" w:type="pct"/>
                  <w:vMerge w:val="continue"/>
                  <w:tcBorders>
                    <w:tl2br w:val="nil"/>
                    <w:tr2bl w:val="nil"/>
                  </w:tcBorders>
                  <w:vAlign w:val="center"/>
                </w:tcPr>
                <w:p w14:paraId="47D84917">
                  <w:pPr>
                    <w:pStyle w:val="16"/>
                    <w:rPr>
                      <w:color w:val="auto"/>
                    </w:rPr>
                  </w:pPr>
                </w:p>
              </w:tc>
              <w:tc>
                <w:tcPr>
                  <w:tcW w:w="1139" w:type="pct"/>
                  <w:tcBorders>
                    <w:tl2br w:val="nil"/>
                    <w:tr2bl w:val="nil"/>
                  </w:tcBorders>
                  <w:vAlign w:val="center"/>
                </w:tcPr>
                <w:p w14:paraId="4F78DBE9">
                  <w:pPr>
                    <w:pStyle w:val="16"/>
                    <w:jc w:val="center"/>
                    <w:rPr>
                      <w:color w:val="auto"/>
                    </w:rPr>
                  </w:pPr>
                  <w:r>
                    <w:rPr>
                      <w:rFonts w:hint="eastAsia"/>
                      <w:color w:val="auto"/>
                    </w:rPr>
                    <w:t>双泉村</w:t>
                  </w:r>
                </w:p>
              </w:tc>
              <w:tc>
                <w:tcPr>
                  <w:tcW w:w="1008" w:type="pct"/>
                  <w:tcBorders>
                    <w:tl2br w:val="nil"/>
                    <w:tr2bl w:val="nil"/>
                  </w:tcBorders>
                  <w:noWrap/>
                  <w:vAlign w:val="center"/>
                </w:tcPr>
                <w:p w14:paraId="6A994A57">
                  <w:pPr>
                    <w:pStyle w:val="16"/>
                    <w:jc w:val="center"/>
                    <w:rPr>
                      <w:color w:val="auto"/>
                    </w:rPr>
                  </w:pPr>
                  <w:r>
                    <w:rPr>
                      <w:rFonts w:hint="eastAsia"/>
                      <w:color w:val="auto"/>
                    </w:rPr>
                    <w:t>1800</w:t>
                  </w:r>
                </w:p>
              </w:tc>
              <w:tc>
                <w:tcPr>
                  <w:tcW w:w="1008" w:type="pct"/>
                  <w:tcBorders>
                    <w:tl2br w:val="nil"/>
                    <w:tr2bl w:val="nil"/>
                  </w:tcBorders>
                  <w:vAlign w:val="center"/>
                </w:tcPr>
                <w:p w14:paraId="15C5DD80">
                  <w:pPr>
                    <w:pStyle w:val="16"/>
                    <w:jc w:val="center"/>
                    <w:rPr>
                      <w:color w:val="auto"/>
                    </w:rPr>
                  </w:pPr>
                  <w:r>
                    <w:rPr>
                      <w:rFonts w:hint="eastAsia"/>
                      <w:color w:val="auto"/>
                    </w:rPr>
                    <w:t>恢复灌面</w:t>
                  </w:r>
                </w:p>
              </w:tc>
            </w:tr>
            <w:tr w14:paraId="44BF6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413A8449">
                  <w:pPr>
                    <w:pStyle w:val="16"/>
                    <w:jc w:val="center"/>
                    <w:rPr>
                      <w:color w:val="auto"/>
                    </w:rPr>
                  </w:pPr>
                  <w:r>
                    <w:rPr>
                      <w:rFonts w:hint="eastAsia"/>
                      <w:color w:val="auto"/>
                    </w:rPr>
                    <w:t>10</w:t>
                  </w:r>
                </w:p>
              </w:tc>
              <w:tc>
                <w:tcPr>
                  <w:tcW w:w="1204" w:type="pct"/>
                  <w:vMerge w:val="continue"/>
                  <w:tcBorders>
                    <w:tl2br w:val="nil"/>
                    <w:tr2bl w:val="nil"/>
                  </w:tcBorders>
                  <w:vAlign w:val="center"/>
                </w:tcPr>
                <w:p w14:paraId="7CF1B7E9">
                  <w:pPr>
                    <w:pStyle w:val="16"/>
                    <w:rPr>
                      <w:color w:val="auto"/>
                    </w:rPr>
                  </w:pPr>
                </w:p>
              </w:tc>
              <w:tc>
                <w:tcPr>
                  <w:tcW w:w="1139" w:type="pct"/>
                  <w:tcBorders>
                    <w:tl2br w:val="nil"/>
                    <w:tr2bl w:val="nil"/>
                  </w:tcBorders>
                  <w:vAlign w:val="center"/>
                </w:tcPr>
                <w:p w14:paraId="60296C37">
                  <w:pPr>
                    <w:pStyle w:val="16"/>
                    <w:jc w:val="center"/>
                    <w:rPr>
                      <w:color w:val="auto"/>
                    </w:rPr>
                  </w:pPr>
                  <w:r>
                    <w:rPr>
                      <w:rFonts w:hint="eastAsia"/>
                      <w:color w:val="auto"/>
                    </w:rPr>
                    <w:t>小计</w:t>
                  </w:r>
                </w:p>
              </w:tc>
              <w:tc>
                <w:tcPr>
                  <w:tcW w:w="1008" w:type="pct"/>
                  <w:tcBorders>
                    <w:tl2br w:val="nil"/>
                    <w:tr2bl w:val="nil"/>
                  </w:tcBorders>
                  <w:noWrap/>
                  <w:vAlign w:val="center"/>
                </w:tcPr>
                <w:p w14:paraId="30295C83">
                  <w:pPr>
                    <w:pStyle w:val="16"/>
                    <w:jc w:val="center"/>
                    <w:rPr>
                      <w:color w:val="auto"/>
                    </w:rPr>
                  </w:pPr>
                  <w:r>
                    <w:rPr>
                      <w:rFonts w:hint="eastAsia"/>
                      <w:color w:val="auto"/>
                    </w:rPr>
                    <w:t>4000</w:t>
                  </w:r>
                </w:p>
              </w:tc>
              <w:tc>
                <w:tcPr>
                  <w:tcW w:w="1008" w:type="pct"/>
                  <w:tcBorders>
                    <w:tl2br w:val="nil"/>
                    <w:tr2bl w:val="nil"/>
                  </w:tcBorders>
                  <w:vAlign w:val="center"/>
                </w:tcPr>
                <w:p w14:paraId="3DCEE1F6">
                  <w:pPr>
                    <w:pStyle w:val="16"/>
                    <w:jc w:val="center"/>
                    <w:rPr>
                      <w:color w:val="auto"/>
                    </w:rPr>
                  </w:pPr>
                  <w:r>
                    <w:rPr>
                      <w:rFonts w:hint="eastAsia"/>
                      <w:color w:val="auto"/>
                    </w:rPr>
                    <w:t>恢复灌面</w:t>
                  </w:r>
                </w:p>
              </w:tc>
            </w:tr>
            <w:tr w14:paraId="0A92A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7" w:type="pct"/>
                  <w:tcBorders>
                    <w:tl2br w:val="nil"/>
                    <w:tr2bl w:val="nil"/>
                  </w:tcBorders>
                  <w:noWrap/>
                  <w:vAlign w:val="center"/>
                </w:tcPr>
                <w:p w14:paraId="7D224638">
                  <w:pPr>
                    <w:pStyle w:val="16"/>
                    <w:jc w:val="center"/>
                    <w:rPr>
                      <w:color w:val="auto"/>
                    </w:rPr>
                  </w:pPr>
                  <w:r>
                    <w:rPr>
                      <w:rFonts w:hint="eastAsia"/>
                      <w:color w:val="auto"/>
                    </w:rPr>
                    <w:t>11</w:t>
                  </w:r>
                </w:p>
              </w:tc>
              <w:tc>
                <w:tcPr>
                  <w:tcW w:w="2344" w:type="pct"/>
                  <w:gridSpan w:val="2"/>
                  <w:tcBorders>
                    <w:tl2br w:val="nil"/>
                    <w:tr2bl w:val="nil"/>
                  </w:tcBorders>
                  <w:noWrap/>
                  <w:vAlign w:val="center"/>
                </w:tcPr>
                <w:p w14:paraId="26ECD1F3">
                  <w:pPr>
                    <w:pStyle w:val="16"/>
                    <w:jc w:val="center"/>
                    <w:rPr>
                      <w:color w:val="auto"/>
                    </w:rPr>
                  </w:pPr>
                  <w:r>
                    <w:rPr>
                      <w:rFonts w:hint="eastAsia"/>
                      <w:color w:val="auto"/>
                    </w:rPr>
                    <w:t>合计</w:t>
                  </w:r>
                </w:p>
              </w:tc>
              <w:tc>
                <w:tcPr>
                  <w:tcW w:w="1008" w:type="pct"/>
                  <w:tcBorders>
                    <w:tl2br w:val="nil"/>
                    <w:tr2bl w:val="nil"/>
                  </w:tcBorders>
                  <w:noWrap/>
                  <w:vAlign w:val="center"/>
                </w:tcPr>
                <w:p w14:paraId="663F17A4">
                  <w:pPr>
                    <w:pStyle w:val="16"/>
                    <w:jc w:val="center"/>
                    <w:rPr>
                      <w:color w:val="auto"/>
                    </w:rPr>
                  </w:pPr>
                  <w:r>
                    <w:rPr>
                      <w:rFonts w:hint="eastAsia"/>
                      <w:color w:val="auto"/>
                    </w:rPr>
                    <w:t>11270</w:t>
                  </w:r>
                </w:p>
              </w:tc>
              <w:tc>
                <w:tcPr>
                  <w:tcW w:w="1008" w:type="pct"/>
                  <w:tcBorders>
                    <w:tl2br w:val="nil"/>
                    <w:tr2bl w:val="nil"/>
                  </w:tcBorders>
                  <w:vAlign w:val="center"/>
                </w:tcPr>
                <w:p w14:paraId="1D7AC98B">
                  <w:pPr>
                    <w:pStyle w:val="16"/>
                    <w:jc w:val="center"/>
                    <w:rPr>
                      <w:color w:val="auto"/>
                    </w:rPr>
                  </w:pPr>
                </w:p>
              </w:tc>
            </w:tr>
          </w:tbl>
          <w:p w14:paraId="58B2E9FF">
            <w:pPr>
              <w:ind w:firstLine="482"/>
              <w:rPr>
                <w:b/>
                <w:bCs/>
                <w:color w:val="auto"/>
              </w:rPr>
            </w:pPr>
          </w:p>
          <w:p w14:paraId="36281C3F">
            <w:pPr>
              <w:ind w:firstLine="482"/>
              <w:rPr>
                <w:color w:val="auto"/>
              </w:rPr>
            </w:pPr>
            <w:r>
              <w:rPr>
                <w:rFonts w:hint="eastAsia"/>
                <w:b/>
                <w:bCs/>
                <w:color w:val="auto"/>
              </w:rPr>
              <w:t>2、</w:t>
            </w:r>
            <w:r>
              <w:rPr>
                <w:b/>
                <w:bCs/>
                <w:color w:val="auto"/>
              </w:rPr>
              <w:t>工程目标</w:t>
            </w:r>
          </w:p>
          <w:p w14:paraId="3BD070BB">
            <w:pPr>
              <w:ind w:firstLine="480"/>
              <w:rPr>
                <w:color w:val="auto"/>
              </w:rPr>
            </w:pPr>
            <w:r>
              <w:rPr>
                <w:rFonts w:hint="eastAsia"/>
                <w:color w:val="auto"/>
              </w:rPr>
              <w:t>①通过工程建设，彻底解决项目区共计18393人的生活用水需求，使得供水保证率达到95%，供水水质达到《生活饮用水卫生标准》（GB5749-2022）相关要求。</w:t>
            </w:r>
          </w:p>
          <w:p w14:paraId="46819997">
            <w:pPr>
              <w:ind w:firstLine="480"/>
              <w:rPr>
                <w:color w:val="auto"/>
              </w:rPr>
            </w:pPr>
            <w:r>
              <w:rPr>
                <w:rFonts w:hint="eastAsia"/>
                <w:color w:val="auto"/>
              </w:rPr>
              <w:t>②通过工程建设，保障项目区11270亩耕地灌溉用水，灌溉用水保证率达到75%</w:t>
            </w:r>
            <w:r>
              <w:rPr>
                <w:color w:val="auto"/>
              </w:rPr>
              <w:t>。</w:t>
            </w:r>
          </w:p>
          <w:p w14:paraId="434720D7">
            <w:pPr>
              <w:adjustRightInd w:val="0"/>
              <w:snapToGrid w:val="0"/>
              <w:ind w:firstLine="482"/>
              <w:rPr>
                <w:b/>
                <w:bCs/>
                <w:color w:val="auto"/>
              </w:rPr>
            </w:pPr>
            <w:r>
              <w:rPr>
                <w:rFonts w:hint="eastAsia"/>
                <w:b/>
                <w:bCs/>
                <w:color w:val="auto"/>
              </w:rPr>
              <w:t>三、</w:t>
            </w:r>
            <w:r>
              <w:rPr>
                <w:b/>
                <w:bCs/>
                <w:color w:val="auto"/>
              </w:rPr>
              <w:t>项目建设基本情况</w:t>
            </w:r>
          </w:p>
          <w:p w14:paraId="1AC3AB5A">
            <w:pPr>
              <w:adjustRightInd w:val="0"/>
              <w:snapToGrid w:val="0"/>
              <w:ind w:firstLine="480"/>
              <w:rPr>
                <w:color w:val="auto"/>
              </w:rPr>
            </w:pPr>
            <w:r>
              <w:rPr>
                <w:color w:val="auto"/>
              </w:rPr>
              <w:t>项目名称</w:t>
            </w:r>
            <w:r>
              <w:rPr>
                <w:rFonts w:hint="eastAsia"/>
                <w:color w:val="auto"/>
              </w:rPr>
              <w:t>：通江县铁佛镇移民安置区饮水管网及灌溉水利设施建设工程</w:t>
            </w:r>
          </w:p>
          <w:p w14:paraId="5F916DF7">
            <w:pPr>
              <w:adjustRightInd w:val="0"/>
              <w:snapToGrid w:val="0"/>
              <w:ind w:firstLine="480"/>
              <w:rPr>
                <w:color w:val="auto"/>
              </w:rPr>
            </w:pPr>
            <w:r>
              <w:rPr>
                <w:color w:val="auto"/>
              </w:rPr>
              <w:t>建设地点</w:t>
            </w:r>
            <w:r>
              <w:rPr>
                <w:rFonts w:hint="eastAsia"/>
                <w:color w:val="auto"/>
              </w:rPr>
              <w:t>：</w:t>
            </w:r>
            <w:r>
              <w:rPr>
                <w:color w:val="auto"/>
              </w:rPr>
              <w:t>四川省</w:t>
            </w:r>
            <w:r>
              <w:rPr>
                <w:rFonts w:hint="eastAsia"/>
                <w:color w:val="auto"/>
              </w:rPr>
              <w:t>巴中市通江县铁佛镇</w:t>
            </w:r>
          </w:p>
          <w:p w14:paraId="69348780">
            <w:pPr>
              <w:adjustRightInd w:val="0"/>
              <w:snapToGrid w:val="0"/>
              <w:ind w:firstLine="480"/>
              <w:rPr>
                <w:color w:val="auto"/>
              </w:rPr>
            </w:pPr>
            <w:r>
              <w:rPr>
                <w:color w:val="auto"/>
              </w:rPr>
              <w:t>建设单位</w:t>
            </w:r>
            <w:r>
              <w:rPr>
                <w:rFonts w:hint="eastAsia"/>
                <w:color w:val="auto"/>
              </w:rPr>
              <w:t>：</w:t>
            </w:r>
            <w:r>
              <w:rPr>
                <w:rFonts w:hint="eastAsia"/>
                <w:color w:val="auto"/>
                <w:kern w:val="0"/>
              </w:rPr>
              <w:t>通江县涉水工程移民服务中心</w:t>
            </w:r>
          </w:p>
          <w:p w14:paraId="1F3F337C">
            <w:pPr>
              <w:adjustRightInd w:val="0"/>
              <w:snapToGrid w:val="0"/>
              <w:ind w:firstLine="480"/>
              <w:rPr>
                <w:color w:val="auto"/>
              </w:rPr>
            </w:pPr>
            <w:r>
              <w:rPr>
                <w:color w:val="auto"/>
              </w:rPr>
              <w:t>建设性质</w:t>
            </w:r>
            <w:r>
              <w:rPr>
                <w:rFonts w:hint="eastAsia"/>
                <w:color w:val="auto"/>
              </w:rPr>
              <w:t>：</w:t>
            </w:r>
            <w:r>
              <w:rPr>
                <w:color w:val="auto"/>
              </w:rPr>
              <w:t>新建</w:t>
            </w:r>
          </w:p>
          <w:p w14:paraId="56A6EACC">
            <w:pPr>
              <w:adjustRightInd w:val="0"/>
              <w:snapToGrid w:val="0"/>
              <w:ind w:firstLine="480"/>
              <w:rPr>
                <w:color w:val="auto"/>
              </w:rPr>
            </w:pPr>
            <w:r>
              <w:rPr>
                <w:color w:val="auto"/>
              </w:rPr>
              <w:t>项目总投资</w:t>
            </w:r>
            <w:r>
              <w:rPr>
                <w:rFonts w:hint="eastAsia"/>
                <w:color w:val="auto"/>
              </w:rPr>
              <w:t>：3904.70</w:t>
            </w:r>
            <w:r>
              <w:rPr>
                <w:color w:val="auto"/>
              </w:rPr>
              <w:t>万元</w:t>
            </w:r>
            <w:r>
              <w:rPr>
                <w:rFonts w:hint="eastAsia"/>
                <w:color w:val="auto"/>
              </w:rPr>
              <w:t>；</w:t>
            </w:r>
          </w:p>
          <w:p w14:paraId="5C8A6A47">
            <w:pPr>
              <w:ind w:firstLine="480"/>
              <w:rPr>
                <w:color w:val="auto"/>
              </w:rPr>
            </w:pPr>
            <w:r>
              <w:rPr>
                <w:color w:val="auto"/>
              </w:rPr>
              <w:t>建设内容</w:t>
            </w:r>
            <w:r>
              <w:rPr>
                <w:rFonts w:hint="eastAsia"/>
                <w:color w:val="auto"/>
              </w:rPr>
              <w:t>：本次项目分为3片区，分别为：流里河水库片区、澌溪沟水库片区、王家河水库片区。</w:t>
            </w:r>
          </w:p>
          <w:p w14:paraId="451BFB49">
            <w:pPr>
              <w:ind w:firstLine="480"/>
              <w:rPr>
                <w:color w:val="auto"/>
              </w:rPr>
            </w:pPr>
            <w:r>
              <w:rPr>
                <w:rFonts w:hint="eastAsia"/>
                <w:color w:val="auto"/>
              </w:rPr>
              <w:t>（1）流里河水库片区</w:t>
            </w:r>
          </w:p>
          <w:p w14:paraId="5D840306">
            <w:pPr>
              <w:ind w:firstLine="480"/>
              <w:rPr>
                <w:color w:val="auto"/>
              </w:rPr>
            </w:pPr>
            <w:r>
              <w:rPr>
                <w:rFonts w:hint="eastAsia"/>
                <w:color w:val="auto"/>
              </w:rPr>
              <w:t>在流里河水库库区内采用浮筒取水，新建主管道、支管至灌溉区及现状暂存池。</w:t>
            </w:r>
          </w:p>
          <w:p w14:paraId="06FDD160">
            <w:pPr>
              <w:ind w:firstLine="480"/>
              <w:rPr>
                <w:color w:val="auto"/>
              </w:rPr>
            </w:pPr>
            <w:r>
              <w:rPr>
                <w:rFonts w:hint="eastAsia"/>
                <w:color w:val="auto"/>
              </w:rPr>
              <w:t>流里河水库库区取水口处新建浮筒取水及加压泵工程1处。新建输水主管2条共16.96km，新建输水支管8条5.15km。</w:t>
            </w:r>
          </w:p>
          <w:p w14:paraId="1AAB9E02">
            <w:pPr>
              <w:ind w:firstLine="480"/>
              <w:rPr>
                <w:color w:val="auto"/>
              </w:rPr>
            </w:pPr>
            <w:r>
              <w:rPr>
                <w:rFonts w:hint="eastAsia"/>
                <w:color w:val="auto"/>
              </w:rPr>
              <w:t>（2）澌溪沟水库片区</w:t>
            </w:r>
          </w:p>
          <w:p w14:paraId="44D9648E">
            <w:pPr>
              <w:ind w:firstLine="480"/>
              <w:rPr>
                <w:color w:val="auto"/>
              </w:rPr>
            </w:pPr>
            <w:r>
              <w:rPr>
                <w:rFonts w:hint="eastAsia"/>
                <w:color w:val="auto"/>
              </w:rPr>
              <w:t>在澌溪沟水库库区内采用浮筒取水，新建主管道、支管至灌溉区。</w:t>
            </w:r>
          </w:p>
          <w:p w14:paraId="232B67F3">
            <w:pPr>
              <w:ind w:firstLine="480"/>
              <w:rPr>
                <w:color w:val="auto"/>
              </w:rPr>
            </w:pPr>
            <w:r>
              <w:rPr>
                <w:rFonts w:hint="eastAsia"/>
                <w:color w:val="auto"/>
              </w:rPr>
              <w:t>新建浮筒取水口及加压泵工程1处，新建白马村200m</w:t>
            </w:r>
            <w:r>
              <w:rPr>
                <w:rFonts w:hint="eastAsia"/>
                <w:color w:val="auto"/>
                <w:vertAlign w:val="superscript"/>
              </w:rPr>
              <w:t>3</w:t>
            </w:r>
            <w:r>
              <w:rPr>
                <w:rFonts w:hint="eastAsia"/>
                <w:color w:val="auto"/>
              </w:rPr>
              <w:t>高位水池1座。新建输水主管1条8.7km，输水支管2条3.34km。</w:t>
            </w:r>
          </w:p>
          <w:p w14:paraId="2FB9161C">
            <w:pPr>
              <w:ind w:firstLine="480"/>
              <w:rPr>
                <w:color w:val="auto"/>
              </w:rPr>
            </w:pPr>
            <w:r>
              <w:rPr>
                <w:rFonts w:hint="eastAsia"/>
                <w:color w:val="auto"/>
              </w:rPr>
              <w:t>（3）王家河水库片区</w:t>
            </w:r>
          </w:p>
          <w:p w14:paraId="1035A963">
            <w:pPr>
              <w:ind w:firstLine="480"/>
              <w:rPr>
                <w:color w:val="auto"/>
              </w:rPr>
            </w:pPr>
            <w:r>
              <w:rPr>
                <w:rFonts w:hint="eastAsia"/>
                <w:color w:val="auto"/>
              </w:rPr>
              <w:t>在王家河水库库区内采用浮筒取水，新建管道至铁佛水厂、麻石镇。</w:t>
            </w:r>
          </w:p>
          <w:p w14:paraId="5E56C89A">
            <w:pPr>
              <w:ind w:firstLine="480"/>
              <w:rPr>
                <w:color w:val="auto"/>
              </w:rPr>
            </w:pPr>
            <w:r>
              <w:rPr>
                <w:rFonts w:hint="eastAsia"/>
                <w:color w:val="auto"/>
              </w:rPr>
              <w:t>新建浮筒取水口及加压泵工程1处，加压泵站2座，500m</w:t>
            </w:r>
            <w:r>
              <w:rPr>
                <w:rFonts w:hint="eastAsia"/>
                <w:color w:val="auto"/>
                <w:vertAlign w:val="superscript"/>
              </w:rPr>
              <w:t>3</w:t>
            </w:r>
            <w:r>
              <w:rPr>
                <w:rFonts w:hint="eastAsia"/>
                <w:color w:val="auto"/>
              </w:rPr>
              <w:t>调蓄池1个，新建输水管道2条22.73km。</w:t>
            </w:r>
          </w:p>
          <w:p w14:paraId="52CF585E">
            <w:pPr>
              <w:adjustRightInd w:val="0"/>
              <w:snapToGrid w:val="0"/>
              <w:ind w:firstLine="482"/>
              <w:rPr>
                <w:b/>
                <w:bCs/>
                <w:color w:val="auto"/>
              </w:rPr>
            </w:pPr>
            <w:r>
              <w:rPr>
                <w:rFonts w:hint="eastAsia" w:ascii="宋体" w:hAnsi="宋体" w:cs="宋体"/>
                <w:b/>
                <w:bCs/>
                <w:color w:val="auto"/>
              </w:rPr>
              <w:t>四</w:t>
            </w:r>
            <w:r>
              <w:rPr>
                <w:b/>
                <w:bCs/>
                <w:color w:val="auto"/>
              </w:rPr>
              <w:t>、项目</w:t>
            </w:r>
            <w:r>
              <w:rPr>
                <w:rFonts w:hint="eastAsia"/>
                <w:b/>
                <w:bCs/>
                <w:color w:val="auto"/>
              </w:rPr>
              <w:t>主要建设内容</w:t>
            </w:r>
          </w:p>
          <w:p w14:paraId="777DE4C3">
            <w:pPr>
              <w:ind w:firstLine="480"/>
              <w:rPr>
                <w:color w:val="auto"/>
              </w:rPr>
            </w:pPr>
            <w:r>
              <w:rPr>
                <w:color w:val="auto"/>
              </w:rPr>
              <w:t>本项目为</w:t>
            </w:r>
            <w:r>
              <w:rPr>
                <w:rFonts w:hint="eastAsia"/>
                <w:color w:val="auto"/>
              </w:rPr>
              <w:t>供水及灌溉</w:t>
            </w:r>
            <w:r>
              <w:rPr>
                <w:color w:val="auto"/>
              </w:rPr>
              <w:t>工程，项目的建设主要包括主体工程、临时工程、</w:t>
            </w:r>
            <w:r>
              <w:rPr>
                <w:rFonts w:hint="eastAsia"/>
                <w:color w:val="auto"/>
              </w:rPr>
              <w:t>辅助</w:t>
            </w:r>
            <w:r>
              <w:rPr>
                <w:color w:val="auto"/>
              </w:rPr>
              <w:t>工程、环保工程，项目组成及主要环境问题见下表：</w:t>
            </w:r>
          </w:p>
          <w:p w14:paraId="33BE0C25">
            <w:pPr>
              <w:pStyle w:val="17"/>
              <w:rPr>
                <w:rFonts w:hint="default"/>
                <w:color w:val="auto"/>
              </w:rPr>
            </w:pPr>
            <w:r>
              <w:rPr>
                <w:rFonts w:hint="default"/>
                <w:color w:val="auto"/>
              </w:rPr>
              <w:t>表2-1 项目组成及主要环境问题表</w:t>
            </w:r>
          </w:p>
          <w:tbl>
            <w:tblPr>
              <w:tblStyle w:val="1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9"/>
              <w:gridCol w:w="710"/>
              <w:gridCol w:w="4900"/>
              <w:gridCol w:w="1194"/>
              <w:gridCol w:w="981"/>
            </w:tblGrid>
            <w:tr w14:paraId="385E99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7" w:type="pct"/>
                  <w:gridSpan w:val="2"/>
                  <w:vMerge w:val="restart"/>
                  <w:tcBorders>
                    <w:tl2br w:val="nil"/>
                    <w:tr2bl w:val="nil"/>
                  </w:tcBorders>
                  <w:vAlign w:val="center"/>
                </w:tcPr>
                <w:p w14:paraId="1CE4B24C">
                  <w:pPr>
                    <w:pStyle w:val="16"/>
                    <w:jc w:val="center"/>
                    <w:rPr>
                      <w:color w:val="auto"/>
                    </w:rPr>
                  </w:pPr>
                  <w:r>
                    <w:rPr>
                      <w:color w:val="auto"/>
                    </w:rPr>
                    <w:t>项目组成名称</w:t>
                  </w:r>
                </w:p>
              </w:tc>
              <w:tc>
                <w:tcPr>
                  <w:tcW w:w="3001" w:type="pct"/>
                  <w:vMerge w:val="restart"/>
                  <w:tcBorders>
                    <w:tl2br w:val="nil"/>
                    <w:tr2bl w:val="nil"/>
                  </w:tcBorders>
                  <w:vAlign w:val="center"/>
                </w:tcPr>
                <w:p w14:paraId="0C98D2B2">
                  <w:pPr>
                    <w:pStyle w:val="16"/>
                    <w:jc w:val="center"/>
                    <w:rPr>
                      <w:color w:val="auto"/>
                    </w:rPr>
                  </w:pPr>
                  <w:r>
                    <w:rPr>
                      <w:color w:val="auto"/>
                    </w:rPr>
                    <w:t>项目建设内容及规模</w:t>
                  </w:r>
                </w:p>
              </w:tc>
              <w:tc>
                <w:tcPr>
                  <w:tcW w:w="1332" w:type="pct"/>
                  <w:gridSpan w:val="2"/>
                  <w:tcBorders>
                    <w:tl2br w:val="nil"/>
                    <w:tr2bl w:val="nil"/>
                  </w:tcBorders>
                  <w:vAlign w:val="center"/>
                </w:tcPr>
                <w:p w14:paraId="5DD7BC45">
                  <w:pPr>
                    <w:pStyle w:val="16"/>
                    <w:jc w:val="center"/>
                    <w:rPr>
                      <w:color w:val="auto"/>
                    </w:rPr>
                  </w:pPr>
                  <w:r>
                    <w:rPr>
                      <w:color w:val="auto"/>
                    </w:rPr>
                    <w:t>可能产生的环境问题</w:t>
                  </w:r>
                </w:p>
              </w:tc>
            </w:tr>
            <w:tr w14:paraId="7E718B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67" w:type="pct"/>
                  <w:gridSpan w:val="2"/>
                  <w:vMerge w:val="continue"/>
                  <w:tcBorders>
                    <w:tl2br w:val="nil"/>
                    <w:tr2bl w:val="nil"/>
                  </w:tcBorders>
                  <w:vAlign w:val="center"/>
                </w:tcPr>
                <w:p w14:paraId="2031D0AF">
                  <w:pPr>
                    <w:pStyle w:val="16"/>
                    <w:jc w:val="center"/>
                    <w:rPr>
                      <w:color w:val="auto"/>
                    </w:rPr>
                  </w:pPr>
                </w:p>
              </w:tc>
              <w:tc>
                <w:tcPr>
                  <w:tcW w:w="3001" w:type="pct"/>
                  <w:vMerge w:val="continue"/>
                  <w:tcBorders>
                    <w:tl2br w:val="nil"/>
                    <w:tr2bl w:val="nil"/>
                  </w:tcBorders>
                  <w:vAlign w:val="center"/>
                </w:tcPr>
                <w:p w14:paraId="321F7F60">
                  <w:pPr>
                    <w:pStyle w:val="16"/>
                    <w:jc w:val="center"/>
                    <w:rPr>
                      <w:color w:val="auto"/>
                    </w:rPr>
                  </w:pPr>
                </w:p>
              </w:tc>
              <w:tc>
                <w:tcPr>
                  <w:tcW w:w="731" w:type="pct"/>
                  <w:tcBorders>
                    <w:tl2br w:val="nil"/>
                    <w:tr2bl w:val="nil"/>
                  </w:tcBorders>
                  <w:vAlign w:val="center"/>
                </w:tcPr>
                <w:p w14:paraId="7D664962">
                  <w:pPr>
                    <w:pStyle w:val="16"/>
                    <w:jc w:val="center"/>
                    <w:rPr>
                      <w:color w:val="auto"/>
                    </w:rPr>
                  </w:pPr>
                  <w:r>
                    <w:rPr>
                      <w:color w:val="auto"/>
                    </w:rPr>
                    <w:t>施工期</w:t>
                  </w:r>
                </w:p>
              </w:tc>
              <w:tc>
                <w:tcPr>
                  <w:tcW w:w="601" w:type="pct"/>
                  <w:tcBorders>
                    <w:tl2br w:val="nil"/>
                    <w:tr2bl w:val="nil"/>
                  </w:tcBorders>
                  <w:vAlign w:val="center"/>
                </w:tcPr>
                <w:p w14:paraId="581A27B1">
                  <w:pPr>
                    <w:pStyle w:val="16"/>
                    <w:jc w:val="center"/>
                    <w:rPr>
                      <w:color w:val="auto"/>
                    </w:rPr>
                  </w:pPr>
                  <w:r>
                    <w:rPr>
                      <w:color w:val="auto"/>
                    </w:rPr>
                    <w:t>营运期</w:t>
                  </w:r>
                </w:p>
              </w:tc>
            </w:tr>
            <w:tr w14:paraId="062BD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restart"/>
                  <w:tcBorders>
                    <w:tl2br w:val="nil"/>
                    <w:tr2bl w:val="nil"/>
                  </w:tcBorders>
                  <w:vAlign w:val="center"/>
                </w:tcPr>
                <w:p w14:paraId="3D230C01">
                  <w:pPr>
                    <w:pStyle w:val="16"/>
                    <w:rPr>
                      <w:color w:val="auto"/>
                    </w:rPr>
                  </w:pPr>
                  <w:r>
                    <w:rPr>
                      <w:color w:val="auto"/>
                    </w:rPr>
                    <w:t>主体工程</w:t>
                  </w:r>
                </w:p>
              </w:tc>
              <w:tc>
                <w:tcPr>
                  <w:tcW w:w="435" w:type="pct"/>
                  <w:tcBorders>
                    <w:tl2br w:val="nil"/>
                    <w:tr2bl w:val="nil"/>
                  </w:tcBorders>
                  <w:vAlign w:val="center"/>
                </w:tcPr>
                <w:p w14:paraId="04905F5A">
                  <w:pPr>
                    <w:pStyle w:val="16"/>
                    <w:jc w:val="center"/>
                    <w:rPr>
                      <w:color w:val="auto"/>
                    </w:rPr>
                  </w:pPr>
                  <w:r>
                    <w:rPr>
                      <w:rFonts w:hint="eastAsia"/>
                      <w:color w:val="auto"/>
                    </w:rPr>
                    <w:t>取/蓄水工程</w:t>
                  </w:r>
                </w:p>
              </w:tc>
              <w:tc>
                <w:tcPr>
                  <w:tcW w:w="3001" w:type="pct"/>
                  <w:tcBorders>
                    <w:tl2br w:val="nil"/>
                    <w:tr2bl w:val="nil"/>
                  </w:tcBorders>
                  <w:vAlign w:val="center"/>
                </w:tcPr>
                <w:p w14:paraId="46331E58">
                  <w:pPr>
                    <w:pStyle w:val="16"/>
                    <w:rPr>
                      <w:color w:val="auto"/>
                    </w:rPr>
                  </w:pPr>
                  <w:r>
                    <w:rPr>
                      <w:rFonts w:hint="eastAsia"/>
                      <w:color w:val="auto"/>
                    </w:rPr>
                    <w:t>（1）流里河水库片区</w:t>
                  </w:r>
                </w:p>
                <w:p w14:paraId="2EFDA359">
                  <w:pPr>
                    <w:pStyle w:val="16"/>
                    <w:rPr>
                      <w:color w:val="auto"/>
                    </w:rPr>
                  </w:pPr>
                  <w:r>
                    <w:rPr>
                      <w:rFonts w:hint="eastAsia"/>
                      <w:color w:val="auto"/>
                    </w:rPr>
                    <w:t>新建浮筒取水及加压泵工程1处，取水采用浮筒</w:t>
                  </w:r>
                  <w:r>
                    <w:rPr>
                      <w:color w:val="auto"/>
                    </w:rPr>
                    <w:t>+</w:t>
                  </w:r>
                  <w:r>
                    <w:rPr>
                      <w:rFonts w:hint="eastAsia"/>
                      <w:color w:val="auto"/>
                    </w:rPr>
                    <w:t>潜水泵的取水形式，新建加压泵房</w:t>
                  </w:r>
                  <w:r>
                    <w:rPr>
                      <w:color w:val="auto"/>
                    </w:rPr>
                    <w:t>1</w:t>
                  </w:r>
                  <w:r>
                    <w:rPr>
                      <w:rFonts w:hint="eastAsia"/>
                      <w:color w:val="auto"/>
                    </w:rPr>
                    <w:t>座，泵站设计规模5778m</w:t>
                  </w:r>
                  <w:r>
                    <w:rPr>
                      <w:rFonts w:hint="eastAsia"/>
                      <w:color w:val="auto"/>
                      <w:vertAlign w:val="superscript"/>
                    </w:rPr>
                    <w:t>3</w:t>
                  </w:r>
                  <w:r>
                    <w:rPr>
                      <w:rFonts w:hint="eastAsia"/>
                      <w:color w:val="auto"/>
                    </w:rPr>
                    <w:t>/d。</w:t>
                  </w:r>
                </w:p>
                <w:p w14:paraId="6844861C">
                  <w:pPr>
                    <w:pStyle w:val="16"/>
                    <w:rPr>
                      <w:color w:val="auto"/>
                    </w:rPr>
                  </w:pPr>
                  <w:r>
                    <w:rPr>
                      <w:rFonts w:hint="eastAsia"/>
                      <w:color w:val="auto"/>
                    </w:rPr>
                    <w:t>（2）澌溪沟水库片区</w:t>
                  </w:r>
                </w:p>
                <w:p w14:paraId="2D246170">
                  <w:pPr>
                    <w:pStyle w:val="16"/>
                    <w:rPr>
                      <w:color w:val="auto"/>
                    </w:rPr>
                  </w:pPr>
                  <w:r>
                    <w:rPr>
                      <w:color w:val="auto"/>
                    </w:rPr>
                    <w:t>新建浮筒取水口</w:t>
                  </w:r>
                  <w:r>
                    <w:rPr>
                      <w:rFonts w:hint="eastAsia"/>
                      <w:color w:val="auto"/>
                    </w:rPr>
                    <w:t>及加压泵工程</w:t>
                  </w:r>
                  <w:r>
                    <w:rPr>
                      <w:color w:val="auto"/>
                    </w:rPr>
                    <w:t>1处</w:t>
                  </w:r>
                  <w:r>
                    <w:rPr>
                      <w:rFonts w:hint="eastAsia"/>
                      <w:color w:val="auto"/>
                    </w:rPr>
                    <w:t>，取水采用浮筒</w:t>
                  </w:r>
                  <w:r>
                    <w:rPr>
                      <w:color w:val="auto"/>
                    </w:rPr>
                    <w:t>+</w:t>
                  </w:r>
                  <w:r>
                    <w:rPr>
                      <w:rFonts w:hint="eastAsia"/>
                      <w:color w:val="auto"/>
                    </w:rPr>
                    <w:t>潜水泵的取水形式，新建加压泵房</w:t>
                  </w:r>
                  <w:r>
                    <w:rPr>
                      <w:color w:val="auto"/>
                    </w:rPr>
                    <w:t>1</w:t>
                  </w:r>
                  <w:r>
                    <w:rPr>
                      <w:rFonts w:hint="eastAsia"/>
                      <w:color w:val="auto"/>
                    </w:rPr>
                    <w:t>座，泵站设计规模12530m</w:t>
                  </w:r>
                  <w:r>
                    <w:rPr>
                      <w:rFonts w:hint="eastAsia"/>
                      <w:color w:val="auto"/>
                      <w:vertAlign w:val="superscript"/>
                    </w:rPr>
                    <w:t>3</w:t>
                  </w:r>
                  <w:r>
                    <w:rPr>
                      <w:rFonts w:hint="eastAsia"/>
                      <w:color w:val="auto"/>
                    </w:rPr>
                    <w:t>/d；</w:t>
                  </w:r>
                  <w:r>
                    <w:rPr>
                      <w:color w:val="auto"/>
                    </w:rPr>
                    <w:t>新建白马村200m</w:t>
                  </w:r>
                  <w:r>
                    <w:rPr>
                      <w:color w:val="auto"/>
                      <w:vertAlign w:val="superscript"/>
                    </w:rPr>
                    <w:t>3</w:t>
                  </w:r>
                  <w:r>
                    <w:rPr>
                      <w:color w:val="auto"/>
                    </w:rPr>
                    <w:t>高位水池1座</w:t>
                  </w:r>
                  <w:r>
                    <w:rPr>
                      <w:rFonts w:hint="eastAsia"/>
                      <w:color w:val="auto"/>
                    </w:rPr>
                    <w:t>。</w:t>
                  </w:r>
                </w:p>
                <w:p w14:paraId="79880D21">
                  <w:pPr>
                    <w:pStyle w:val="16"/>
                    <w:rPr>
                      <w:color w:val="auto"/>
                    </w:rPr>
                  </w:pPr>
                  <w:r>
                    <w:rPr>
                      <w:rFonts w:hint="eastAsia"/>
                      <w:color w:val="auto"/>
                    </w:rPr>
                    <w:t>（3）王家河水库片区</w:t>
                  </w:r>
                </w:p>
                <w:p w14:paraId="31A6C322">
                  <w:pPr>
                    <w:pStyle w:val="16"/>
                    <w:rPr>
                      <w:color w:val="auto"/>
                    </w:rPr>
                  </w:pPr>
                  <w:r>
                    <w:rPr>
                      <w:rFonts w:hint="eastAsia"/>
                      <w:color w:val="auto"/>
                    </w:rPr>
                    <w:t>新建浮筒取水及加压泵工程1处，取水采用浮筒</w:t>
                  </w:r>
                  <w:r>
                    <w:rPr>
                      <w:color w:val="auto"/>
                    </w:rPr>
                    <w:t>+</w:t>
                  </w:r>
                  <w:r>
                    <w:rPr>
                      <w:rFonts w:hint="eastAsia"/>
                      <w:color w:val="auto"/>
                    </w:rPr>
                    <w:t>潜水泵的取水形式，新建加压泵房</w:t>
                  </w:r>
                  <w:r>
                    <w:rPr>
                      <w:color w:val="auto"/>
                    </w:rPr>
                    <w:t>1</w:t>
                  </w:r>
                  <w:r>
                    <w:rPr>
                      <w:rFonts w:hint="eastAsia"/>
                      <w:color w:val="auto"/>
                    </w:rPr>
                    <w:t>座，泵站设计规模5250m</w:t>
                  </w:r>
                  <w:r>
                    <w:rPr>
                      <w:rFonts w:hint="eastAsia"/>
                      <w:color w:val="auto"/>
                      <w:vertAlign w:val="superscript"/>
                    </w:rPr>
                    <w:t>3</w:t>
                  </w:r>
                  <w:r>
                    <w:rPr>
                      <w:rFonts w:hint="eastAsia"/>
                      <w:color w:val="auto"/>
                    </w:rPr>
                    <w:t>/d；</w:t>
                  </w:r>
                  <w:r>
                    <w:rPr>
                      <w:color w:val="auto"/>
                    </w:rPr>
                    <w:t>铁佛水厂</w:t>
                  </w:r>
                  <w:r>
                    <w:rPr>
                      <w:rFonts w:hint="eastAsia"/>
                      <w:color w:val="auto"/>
                    </w:rPr>
                    <w:t>处</w:t>
                  </w:r>
                  <w:r>
                    <w:rPr>
                      <w:color w:val="auto"/>
                    </w:rPr>
                    <w:t>拟建一级加压泵站</w:t>
                  </w:r>
                  <w:r>
                    <w:rPr>
                      <w:rFonts w:hint="eastAsia"/>
                      <w:color w:val="auto"/>
                    </w:rPr>
                    <w:t>，设计规模为2105m</w:t>
                  </w:r>
                  <w:r>
                    <w:rPr>
                      <w:rFonts w:hint="eastAsia"/>
                      <w:color w:val="auto"/>
                      <w:vertAlign w:val="superscript"/>
                    </w:rPr>
                    <w:t>3</w:t>
                  </w:r>
                  <w:r>
                    <w:rPr>
                      <w:rFonts w:hint="eastAsia"/>
                      <w:color w:val="auto"/>
                    </w:rPr>
                    <w:t>/d；巴石村四社处拟建二级加压泵站，设计规模为1930m</w:t>
                  </w:r>
                  <w:r>
                    <w:rPr>
                      <w:rFonts w:hint="eastAsia"/>
                      <w:color w:val="auto"/>
                      <w:vertAlign w:val="superscript"/>
                    </w:rPr>
                    <w:t>3</w:t>
                  </w:r>
                  <w:r>
                    <w:rPr>
                      <w:rFonts w:hint="eastAsia"/>
                      <w:color w:val="auto"/>
                    </w:rPr>
                    <w:t>/d；500m</w:t>
                  </w:r>
                  <w:r>
                    <w:rPr>
                      <w:rFonts w:hint="eastAsia"/>
                      <w:color w:val="auto"/>
                      <w:vertAlign w:val="superscript"/>
                    </w:rPr>
                    <w:t>3</w:t>
                  </w:r>
                  <w:r>
                    <w:rPr>
                      <w:rFonts w:hint="eastAsia"/>
                      <w:color w:val="auto"/>
                    </w:rPr>
                    <w:t>调蓄池1座。</w:t>
                  </w:r>
                </w:p>
              </w:tc>
              <w:tc>
                <w:tcPr>
                  <w:tcW w:w="731" w:type="pct"/>
                  <w:tcBorders>
                    <w:tl2br w:val="nil"/>
                    <w:tr2bl w:val="nil"/>
                  </w:tcBorders>
                  <w:vAlign w:val="center"/>
                </w:tcPr>
                <w:p w14:paraId="6598B51C">
                  <w:pPr>
                    <w:pStyle w:val="16"/>
                    <w:rPr>
                      <w:color w:val="auto"/>
                    </w:rPr>
                  </w:pPr>
                </w:p>
              </w:tc>
              <w:tc>
                <w:tcPr>
                  <w:tcW w:w="601" w:type="pct"/>
                  <w:tcBorders>
                    <w:tl2br w:val="nil"/>
                    <w:tr2bl w:val="nil"/>
                  </w:tcBorders>
                  <w:vAlign w:val="center"/>
                </w:tcPr>
                <w:p w14:paraId="2E68D122">
                  <w:pPr>
                    <w:pStyle w:val="16"/>
                    <w:rPr>
                      <w:color w:val="auto"/>
                    </w:rPr>
                  </w:pPr>
                </w:p>
              </w:tc>
            </w:tr>
            <w:tr w14:paraId="0F6A0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64F3B5C0">
                  <w:pPr>
                    <w:pStyle w:val="16"/>
                    <w:rPr>
                      <w:color w:val="auto"/>
                    </w:rPr>
                  </w:pPr>
                </w:p>
              </w:tc>
              <w:tc>
                <w:tcPr>
                  <w:tcW w:w="435" w:type="pct"/>
                  <w:tcBorders>
                    <w:tl2br w:val="nil"/>
                    <w:tr2bl w:val="nil"/>
                  </w:tcBorders>
                  <w:vAlign w:val="center"/>
                </w:tcPr>
                <w:p w14:paraId="74906049">
                  <w:pPr>
                    <w:pStyle w:val="16"/>
                    <w:jc w:val="center"/>
                    <w:rPr>
                      <w:color w:val="auto"/>
                    </w:rPr>
                  </w:pPr>
                  <w:r>
                    <w:rPr>
                      <w:rFonts w:hint="eastAsia"/>
                      <w:color w:val="auto"/>
                    </w:rPr>
                    <w:t>输水工程</w:t>
                  </w:r>
                </w:p>
              </w:tc>
              <w:tc>
                <w:tcPr>
                  <w:tcW w:w="3001" w:type="pct"/>
                  <w:tcBorders>
                    <w:tl2br w:val="nil"/>
                    <w:tr2bl w:val="nil"/>
                  </w:tcBorders>
                  <w:vAlign w:val="center"/>
                </w:tcPr>
                <w:p w14:paraId="61CAD30B">
                  <w:pPr>
                    <w:pStyle w:val="16"/>
                    <w:rPr>
                      <w:color w:val="auto"/>
                    </w:rPr>
                  </w:pPr>
                  <w:r>
                    <w:rPr>
                      <w:rFonts w:hint="eastAsia"/>
                      <w:color w:val="auto"/>
                    </w:rPr>
                    <w:t>（1）流里河水库片区</w:t>
                  </w:r>
                </w:p>
                <w:p w14:paraId="736542DF">
                  <w:pPr>
                    <w:pStyle w:val="16"/>
                    <w:rPr>
                      <w:color w:val="auto"/>
                    </w:rPr>
                  </w:pPr>
                  <w:r>
                    <w:rPr>
                      <w:rFonts w:hint="eastAsia"/>
                      <w:color w:val="auto"/>
                    </w:rPr>
                    <w:t>新建输水主管（流里河水库至观山坪暂存池） 6.45km，新建1#支管（至王显恩）0.34km，新建2#支管（至村委旁堰塘）0.26km，新建3#支管（至王家坝堰塘）0.41km，新建4#支管（至学堂沟暂存池）0.85km，新建5#支管（至白果树湾堰塘）0.78km。</w:t>
                  </w:r>
                </w:p>
                <w:p w14:paraId="3D0F3705">
                  <w:pPr>
                    <w:pStyle w:val="16"/>
                    <w:rPr>
                      <w:color w:val="auto"/>
                    </w:rPr>
                  </w:pPr>
                  <w:r>
                    <w:rPr>
                      <w:rFonts w:hint="eastAsia"/>
                      <w:color w:val="auto"/>
                    </w:rPr>
                    <w:t>新建输水主管（流里河水库取水口至天子坝）10.51km，新建1#支管（白土娅至安顺加油站）0.39km，新建2#支管（白土娅至花滩子）1.41km，新建输水管（供水站至李家塝）0.71km。</w:t>
                  </w:r>
                </w:p>
                <w:p w14:paraId="0BBE957C">
                  <w:pPr>
                    <w:pStyle w:val="16"/>
                    <w:rPr>
                      <w:color w:val="auto"/>
                    </w:rPr>
                  </w:pPr>
                  <w:r>
                    <w:rPr>
                      <w:rFonts w:hint="eastAsia"/>
                      <w:color w:val="auto"/>
                    </w:rPr>
                    <w:t>（2）澌溪沟水库片区</w:t>
                  </w:r>
                </w:p>
                <w:p w14:paraId="29796148">
                  <w:pPr>
                    <w:pStyle w:val="16"/>
                    <w:rPr>
                      <w:color w:val="auto"/>
                    </w:rPr>
                  </w:pPr>
                  <w:r>
                    <w:rPr>
                      <w:rFonts w:hint="eastAsia"/>
                      <w:color w:val="auto"/>
                    </w:rPr>
                    <w:t>新建输水主管（澌溪沟水库取水口至黑溪沟）8.7km，新建1#支管（至学堂湾）1.24km，新建2#支管（至郑家湾）2.1km。</w:t>
                  </w:r>
                </w:p>
                <w:p w14:paraId="3095D994">
                  <w:pPr>
                    <w:pStyle w:val="16"/>
                    <w:rPr>
                      <w:color w:val="auto"/>
                    </w:rPr>
                  </w:pPr>
                  <w:r>
                    <w:rPr>
                      <w:rFonts w:hint="eastAsia"/>
                      <w:color w:val="auto"/>
                    </w:rPr>
                    <w:t>（3）王家河水库片区</w:t>
                  </w:r>
                </w:p>
                <w:p w14:paraId="7FC8D51C">
                  <w:pPr>
                    <w:pStyle w:val="16"/>
                    <w:rPr>
                      <w:color w:val="auto"/>
                    </w:rPr>
                  </w:pPr>
                  <w:r>
                    <w:rPr>
                      <w:rFonts w:hint="eastAsia"/>
                      <w:color w:val="auto"/>
                    </w:rPr>
                    <w:t>新建王家河水库至铁佛水厂输水管道8.48km，新建铁佛水厂至麻石镇配水主管道共计14.25km。</w:t>
                  </w:r>
                </w:p>
              </w:tc>
              <w:tc>
                <w:tcPr>
                  <w:tcW w:w="731" w:type="pct"/>
                  <w:vMerge w:val="restart"/>
                  <w:tcBorders>
                    <w:tl2br w:val="nil"/>
                    <w:tr2bl w:val="nil"/>
                  </w:tcBorders>
                  <w:vAlign w:val="center"/>
                </w:tcPr>
                <w:p w14:paraId="56A484E9">
                  <w:pPr>
                    <w:pStyle w:val="16"/>
                    <w:rPr>
                      <w:color w:val="auto"/>
                    </w:rPr>
                  </w:pPr>
                  <w:r>
                    <w:rPr>
                      <w:color w:val="auto"/>
                    </w:rPr>
                    <w:t>施工扬尘、废水、噪声、建筑垃圾、生活废水、生活垃圾</w:t>
                  </w:r>
                </w:p>
              </w:tc>
              <w:tc>
                <w:tcPr>
                  <w:tcW w:w="601" w:type="pct"/>
                  <w:tcBorders>
                    <w:tl2br w:val="nil"/>
                    <w:tr2bl w:val="nil"/>
                  </w:tcBorders>
                  <w:vAlign w:val="center"/>
                </w:tcPr>
                <w:p w14:paraId="008BD4A9">
                  <w:pPr>
                    <w:pStyle w:val="16"/>
                    <w:rPr>
                      <w:color w:val="auto"/>
                    </w:rPr>
                  </w:pPr>
                  <w:r>
                    <w:rPr>
                      <w:color w:val="auto"/>
                    </w:rPr>
                    <w:t>/</w:t>
                  </w:r>
                </w:p>
              </w:tc>
            </w:tr>
            <w:tr w14:paraId="738A7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restart"/>
                  <w:tcBorders>
                    <w:tl2br w:val="nil"/>
                    <w:tr2bl w:val="nil"/>
                  </w:tcBorders>
                  <w:vAlign w:val="center"/>
                </w:tcPr>
                <w:p w14:paraId="517CF2AD">
                  <w:pPr>
                    <w:pStyle w:val="16"/>
                    <w:rPr>
                      <w:color w:val="auto"/>
                    </w:rPr>
                  </w:pPr>
                  <w:r>
                    <w:rPr>
                      <w:rFonts w:hint="eastAsia"/>
                      <w:color w:val="auto"/>
                    </w:rPr>
                    <w:t>临时工程</w:t>
                  </w:r>
                </w:p>
              </w:tc>
              <w:tc>
                <w:tcPr>
                  <w:tcW w:w="435" w:type="pct"/>
                  <w:tcBorders>
                    <w:tl2br w:val="nil"/>
                    <w:tr2bl w:val="nil"/>
                  </w:tcBorders>
                  <w:vAlign w:val="center"/>
                </w:tcPr>
                <w:p w14:paraId="4176C12C">
                  <w:pPr>
                    <w:pStyle w:val="16"/>
                    <w:jc w:val="center"/>
                    <w:rPr>
                      <w:color w:val="auto"/>
                    </w:rPr>
                  </w:pPr>
                  <w:r>
                    <w:rPr>
                      <w:rFonts w:hint="eastAsia"/>
                      <w:color w:val="auto"/>
                    </w:rPr>
                    <w:t>生产生活区</w:t>
                  </w:r>
                </w:p>
              </w:tc>
              <w:tc>
                <w:tcPr>
                  <w:tcW w:w="3001" w:type="pct"/>
                  <w:tcBorders>
                    <w:tl2br w:val="nil"/>
                    <w:tr2bl w:val="nil"/>
                  </w:tcBorders>
                  <w:vAlign w:val="center"/>
                </w:tcPr>
                <w:p w14:paraId="69E4745B">
                  <w:pPr>
                    <w:pStyle w:val="16"/>
                    <w:rPr>
                      <w:color w:val="auto"/>
                    </w:rPr>
                  </w:pPr>
                  <w:r>
                    <w:rPr>
                      <w:color w:val="auto"/>
                    </w:rPr>
                    <w:t>本工程共布置</w:t>
                  </w:r>
                  <w:r>
                    <w:rPr>
                      <w:rFonts w:hint="eastAsia"/>
                      <w:color w:val="auto"/>
                    </w:rPr>
                    <w:t>3</w:t>
                  </w:r>
                  <w:r>
                    <w:rPr>
                      <w:color w:val="auto"/>
                    </w:rPr>
                    <w:t>个</w:t>
                  </w:r>
                  <w:r>
                    <w:rPr>
                      <w:rFonts w:hint="eastAsia"/>
                      <w:color w:val="auto"/>
                    </w:rPr>
                    <w:t>生产生活区。</w:t>
                  </w:r>
                </w:p>
                <w:p w14:paraId="0A10586D">
                  <w:pPr>
                    <w:pStyle w:val="16"/>
                    <w:rPr>
                      <w:color w:val="auto"/>
                    </w:rPr>
                  </w:pPr>
                  <w:r>
                    <w:rPr>
                      <w:rFonts w:hint="eastAsia"/>
                      <w:color w:val="auto"/>
                    </w:rPr>
                    <w:t>（</w:t>
                  </w:r>
                  <w:r>
                    <w:rPr>
                      <w:color w:val="auto"/>
                    </w:rPr>
                    <w:t>1</w:t>
                  </w:r>
                  <w:r>
                    <w:rPr>
                      <w:rFonts w:hint="eastAsia"/>
                      <w:color w:val="auto"/>
                    </w:rPr>
                    <w:t>）流里河水库片区生活生产区，仓库</w:t>
                  </w:r>
                  <w:r>
                    <w:rPr>
                      <w:color w:val="auto"/>
                    </w:rPr>
                    <w:t>1</w:t>
                  </w:r>
                  <w:r>
                    <w:rPr>
                      <w:rFonts w:hint="eastAsia"/>
                      <w:color w:val="auto"/>
                    </w:rPr>
                    <w:t>个，临时堆料场</w:t>
                  </w:r>
                  <w:r>
                    <w:rPr>
                      <w:color w:val="auto"/>
                    </w:rPr>
                    <w:t>1</w:t>
                  </w:r>
                  <w:r>
                    <w:rPr>
                      <w:rFonts w:hint="eastAsia"/>
                      <w:color w:val="auto"/>
                    </w:rPr>
                    <w:t>个，钢筋加工厂</w:t>
                  </w:r>
                  <w:r>
                    <w:rPr>
                      <w:color w:val="auto"/>
                    </w:rPr>
                    <w:t>1</w:t>
                  </w:r>
                  <w:r>
                    <w:rPr>
                      <w:rFonts w:hint="eastAsia"/>
                      <w:color w:val="auto"/>
                    </w:rPr>
                    <w:t>个，木材加工厂</w:t>
                  </w:r>
                  <w:r>
                    <w:rPr>
                      <w:color w:val="auto"/>
                    </w:rPr>
                    <w:t>1</w:t>
                  </w:r>
                  <w:r>
                    <w:rPr>
                      <w:rFonts w:hint="eastAsia"/>
                      <w:color w:val="auto"/>
                    </w:rPr>
                    <w:t>个。</w:t>
                  </w:r>
                </w:p>
                <w:p w14:paraId="579E02BE">
                  <w:pPr>
                    <w:pStyle w:val="16"/>
                    <w:rPr>
                      <w:color w:val="auto"/>
                    </w:rPr>
                  </w:pPr>
                  <w:r>
                    <w:rPr>
                      <w:rFonts w:hint="eastAsia"/>
                      <w:color w:val="auto"/>
                    </w:rPr>
                    <w:t>（</w:t>
                  </w:r>
                  <w:r>
                    <w:rPr>
                      <w:color w:val="auto"/>
                    </w:rPr>
                    <w:t>2</w:t>
                  </w:r>
                  <w:r>
                    <w:rPr>
                      <w:rFonts w:hint="eastAsia"/>
                      <w:color w:val="auto"/>
                    </w:rPr>
                    <w:t>）澌溪沟水库片区生活生产区，仓库</w:t>
                  </w:r>
                  <w:r>
                    <w:rPr>
                      <w:color w:val="auto"/>
                    </w:rPr>
                    <w:t>1</w:t>
                  </w:r>
                  <w:r>
                    <w:rPr>
                      <w:rFonts w:hint="eastAsia"/>
                      <w:color w:val="auto"/>
                    </w:rPr>
                    <w:t>个，临时堆料场</w:t>
                  </w:r>
                  <w:r>
                    <w:rPr>
                      <w:color w:val="auto"/>
                    </w:rPr>
                    <w:t>1</w:t>
                  </w:r>
                  <w:r>
                    <w:rPr>
                      <w:rFonts w:hint="eastAsia"/>
                      <w:color w:val="auto"/>
                    </w:rPr>
                    <w:t>个，钢筋加工厂</w:t>
                  </w:r>
                  <w:r>
                    <w:rPr>
                      <w:color w:val="auto"/>
                    </w:rPr>
                    <w:t>1</w:t>
                  </w:r>
                  <w:r>
                    <w:rPr>
                      <w:rFonts w:hint="eastAsia"/>
                      <w:color w:val="auto"/>
                    </w:rPr>
                    <w:t>个，木材加工厂</w:t>
                  </w:r>
                  <w:r>
                    <w:rPr>
                      <w:color w:val="auto"/>
                    </w:rPr>
                    <w:t>1</w:t>
                  </w:r>
                  <w:r>
                    <w:rPr>
                      <w:rFonts w:hint="eastAsia"/>
                      <w:color w:val="auto"/>
                    </w:rPr>
                    <w:t>个。</w:t>
                  </w:r>
                </w:p>
                <w:p w14:paraId="03DD8529">
                  <w:pPr>
                    <w:pStyle w:val="16"/>
                    <w:rPr>
                      <w:color w:val="auto"/>
                    </w:rPr>
                  </w:pPr>
                  <w:r>
                    <w:rPr>
                      <w:rFonts w:hint="eastAsia"/>
                      <w:color w:val="auto"/>
                    </w:rPr>
                    <w:t>（</w:t>
                  </w:r>
                  <w:r>
                    <w:rPr>
                      <w:color w:val="auto"/>
                    </w:rPr>
                    <w:t>3</w:t>
                  </w:r>
                  <w:r>
                    <w:rPr>
                      <w:rFonts w:hint="eastAsia"/>
                      <w:color w:val="auto"/>
                    </w:rPr>
                    <w:t>）王家河水库片区生活生产区，仓库</w:t>
                  </w:r>
                  <w:r>
                    <w:rPr>
                      <w:color w:val="auto"/>
                    </w:rPr>
                    <w:t>1</w:t>
                  </w:r>
                  <w:r>
                    <w:rPr>
                      <w:rFonts w:hint="eastAsia"/>
                      <w:color w:val="auto"/>
                    </w:rPr>
                    <w:t>个，临时堆料场</w:t>
                  </w:r>
                  <w:r>
                    <w:rPr>
                      <w:color w:val="auto"/>
                    </w:rPr>
                    <w:t>1</w:t>
                  </w:r>
                  <w:r>
                    <w:rPr>
                      <w:rFonts w:hint="eastAsia"/>
                      <w:color w:val="auto"/>
                    </w:rPr>
                    <w:t>个，钢筋加工厂</w:t>
                  </w:r>
                  <w:r>
                    <w:rPr>
                      <w:color w:val="auto"/>
                    </w:rPr>
                    <w:t>1</w:t>
                  </w:r>
                  <w:r>
                    <w:rPr>
                      <w:rFonts w:hint="eastAsia"/>
                      <w:color w:val="auto"/>
                    </w:rPr>
                    <w:t>个，木材加工厂</w:t>
                  </w:r>
                  <w:r>
                    <w:rPr>
                      <w:color w:val="auto"/>
                    </w:rPr>
                    <w:t>1</w:t>
                  </w:r>
                  <w:r>
                    <w:rPr>
                      <w:rFonts w:hint="eastAsia"/>
                      <w:color w:val="auto"/>
                    </w:rPr>
                    <w:t>个。</w:t>
                  </w:r>
                </w:p>
              </w:tc>
              <w:tc>
                <w:tcPr>
                  <w:tcW w:w="731" w:type="pct"/>
                  <w:vMerge w:val="continue"/>
                  <w:tcBorders>
                    <w:tl2br w:val="nil"/>
                    <w:tr2bl w:val="nil"/>
                  </w:tcBorders>
                  <w:vAlign w:val="center"/>
                </w:tcPr>
                <w:p w14:paraId="644A3701">
                  <w:pPr>
                    <w:pStyle w:val="16"/>
                    <w:rPr>
                      <w:color w:val="auto"/>
                    </w:rPr>
                  </w:pPr>
                </w:p>
              </w:tc>
              <w:tc>
                <w:tcPr>
                  <w:tcW w:w="601" w:type="pct"/>
                  <w:tcBorders>
                    <w:tl2br w:val="nil"/>
                    <w:tr2bl w:val="nil"/>
                  </w:tcBorders>
                  <w:vAlign w:val="center"/>
                </w:tcPr>
                <w:p w14:paraId="0E2D1BA6">
                  <w:pPr>
                    <w:pStyle w:val="16"/>
                    <w:rPr>
                      <w:color w:val="auto"/>
                    </w:rPr>
                  </w:pPr>
                  <w:r>
                    <w:rPr>
                      <w:rFonts w:hint="eastAsia"/>
                      <w:color w:val="auto"/>
                    </w:rPr>
                    <w:t>/</w:t>
                  </w:r>
                </w:p>
              </w:tc>
            </w:tr>
            <w:tr w14:paraId="78EACC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6F8DB329">
                  <w:pPr>
                    <w:pStyle w:val="16"/>
                    <w:rPr>
                      <w:color w:val="auto"/>
                    </w:rPr>
                  </w:pPr>
                </w:p>
              </w:tc>
              <w:tc>
                <w:tcPr>
                  <w:tcW w:w="435" w:type="pct"/>
                  <w:tcBorders>
                    <w:tl2br w:val="nil"/>
                    <w:tr2bl w:val="nil"/>
                  </w:tcBorders>
                  <w:vAlign w:val="center"/>
                </w:tcPr>
                <w:p w14:paraId="2A1F1C24">
                  <w:pPr>
                    <w:pStyle w:val="16"/>
                    <w:jc w:val="center"/>
                    <w:rPr>
                      <w:color w:val="auto"/>
                    </w:rPr>
                  </w:pPr>
                  <w:r>
                    <w:rPr>
                      <w:color w:val="auto"/>
                    </w:rPr>
                    <w:t>混凝土生产系统</w:t>
                  </w:r>
                </w:p>
              </w:tc>
              <w:tc>
                <w:tcPr>
                  <w:tcW w:w="3001" w:type="pct"/>
                  <w:tcBorders>
                    <w:tl2br w:val="nil"/>
                    <w:tr2bl w:val="nil"/>
                  </w:tcBorders>
                  <w:vAlign w:val="center"/>
                </w:tcPr>
                <w:p w14:paraId="06874874">
                  <w:pPr>
                    <w:pStyle w:val="16"/>
                    <w:rPr>
                      <w:color w:val="auto"/>
                    </w:rPr>
                  </w:pPr>
                  <w:r>
                    <w:rPr>
                      <w:color w:val="auto"/>
                    </w:rPr>
                    <w:t>本工程混凝土生产系统根据建筑物特点进行布置。泵站、取水</w:t>
                  </w:r>
                  <w:r>
                    <w:rPr>
                      <w:rFonts w:hint="eastAsia"/>
                      <w:color w:val="auto"/>
                    </w:rPr>
                    <w:t>口</w:t>
                  </w:r>
                  <w:r>
                    <w:rPr>
                      <w:color w:val="auto"/>
                    </w:rPr>
                    <w:t>、水池单工作面的混凝土浇筑强度相对较高，各布置1台0.</w:t>
                  </w:r>
                  <w:r>
                    <w:rPr>
                      <w:rFonts w:hint="eastAsia"/>
                      <w:color w:val="auto"/>
                    </w:rPr>
                    <w:t>3</w:t>
                  </w:r>
                  <w:r>
                    <w:rPr>
                      <w:color w:val="auto"/>
                    </w:rPr>
                    <w:t>5m³</w:t>
                  </w:r>
                  <w:r>
                    <w:rPr>
                      <w:rFonts w:hint="eastAsia"/>
                      <w:color w:val="auto"/>
                    </w:rPr>
                    <w:t>移动式</w:t>
                  </w:r>
                  <w:r>
                    <w:rPr>
                      <w:color w:val="auto"/>
                    </w:rPr>
                    <w:t>混凝土拌和机</w:t>
                  </w:r>
                  <w:r>
                    <w:rPr>
                      <w:rFonts w:hint="eastAsia"/>
                      <w:color w:val="auto"/>
                    </w:rPr>
                    <w:t>；</w:t>
                  </w:r>
                  <w:r>
                    <w:rPr>
                      <w:color w:val="auto"/>
                    </w:rPr>
                    <w:t>其他管道线路单工作面的混凝土浇筑强度相对较低，沿线</w:t>
                  </w:r>
                  <w:r>
                    <w:rPr>
                      <w:rFonts w:hint="eastAsia"/>
                      <w:color w:val="auto"/>
                    </w:rPr>
                    <w:t>根据需要</w:t>
                  </w:r>
                  <w:r>
                    <w:rPr>
                      <w:color w:val="auto"/>
                    </w:rPr>
                    <w:t>布置</w:t>
                  </w:r>
                  <w:r>
                    <w:rPr>
                      <w:rFonts w:hint="eastAsia"/>
                      <w:color w:val="auto"/>
                    </w:rPr>
                    <w:t>移动式</w:t>
                  </w:r>
                  <w:r>
                    <w:rPr>
                      <w:color w:val="auto"/>
                    </w:rPr>
                    <w:t>混凝土拌和机，</w:t>
                  </w:r>
                  <w:r>
                    <w:rPr>
                      <w:rFonts w:hint="eastAsia"/>
                      <w:color w:val="auto"/>
                    </w:rPr>
                    <w:t>高峰期</w:t>
                  </w:r>
                  <w:r>
                    <w:rPr>
                      <w:color w:val="auto"/>
                    </w:rPr>
                    <w:t>共布置8</w:t>
                  </w:r>
                  <w:r>
                    <w:rPr>
                      <w:rFonts w:hint="eastAsia"/>
                      <w:color w:val="auto"/>
                    </w:rPr>
                    <w:t>台移动式</w:t>
                  </w:r>
                  <w:r>
                    <w:rPr>
                      <w:color w:val="auto"/>
                    </w:rPr>
                    <w:t>混凝土拌和机。</w:t>
                  </w:r>
                </w:p>
              </w:tc>
              <w:tc>
                <w:tcPr>
                  <w:tcW w:w="731" w:type="pct"/>
                  <w:vMerge w:val="continue"/>
                  <w:tcBorders>
                    <w:tl2br w:val="nil"/>
                    <w:tr2bl w:val="nil"/>
                  </w:tcBorders>
                  <w:vAlign w:val="center"/>
                </w:tcPr>
                <w:p w14:paraId="0EF34689">
                  <w:pPr>
                    <w:pStyle w:val="16"/>
                    <w:rPr>
                      <w:color w:val="auto"/>
                    </w:rPr>
                  </w:pPr>
                </w:p>
              </w:tc>
              <w:tc>
                <w:tcPr>
                  <w:tcW w:w="601" w:type="pct"/>
                  <w:tcBorders>
                    <w:tl2br w:val="nil"/>
                    <w:tr2bl w:val="nil"/>
                  </w:tcBorders>
                  <w:vAlign w:val="center"/>
                </w:tcPr>
                <w:p w14:paraId="25E5B8AF">
                  <w:pPr>
                    <w:pStyle w:val="16"/>
                    <w:rPr>
                      <w:color w:val="auto"/>
                    </w:rPr>
                  </w:pPr>
                </w:p>
              </w:tc>
            </w:tr>
            <w:tr w14:paraId="488967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62975529">
                  <w:pPr>
                    <w:pStyle w:val="16"/>
                    <w:rPr>
                      <w:color w:val="auto"/>
                    </w:rPr>
                  </w:pPr>
                </w:p>
              </w:tc>
              <w:tc>
                <w:tcPr>
                  <w:tcW w:w="435" w:type="pct"/>
                  <w:tcBorders>
                    <w:tl2br w:val="nil"/>
                    <w:tr2bl w:val="nil"/>
                  </w:tcBorders>
                  <w:vAlign w:val="center"/>
                </w:tcPr>
                <w:p w14:paraId="62AAF23D">
                  <w:pPr>
                    <w:pStyle w:val="16"/>
                    <w:jc w:val="center"/>
                    <w:rPr>
                      <w:color w:val="auto"/>
                    </w:rPr>
                  </w:pPr>
                  <w:r>
                    <w:rPr>
                      <w:color w:val="auto"/>
                    </w:rPr>
                    <w:t>机械修配厂</w:t>
                  </w:r>
                </w:p>
              </w:tc>
              <w:tc>
                <w:tcPr>
                  <w:tcW w:w="3001" w:type="pct"/>
                  <w:tcBorders>
                    <w:tl2br w:val="nil"/>
                    <w:tr2bl w:val="nil"/>
                  </w:tcBorders>
                  <w:vAlign w:val="center"/>
                </w:tcPr>
                <w:p w14:paraId="531C0106">
                  <w:pPr>
                    <w:pStyle w:val="16"/>
                    <w:rPr>
                      <w:color w:val="auto"/>
                    </w:rPr>
                  </w:pPr>
                  <w:r>
                    <w:rPr>
                      <w:color w:val="auto"/>
                    </w:rPr>
                    <w:t>利用工程区附近的机修、汽修企业承担一般机械简单修理，施工机械大修考虑利用通江县相关的修配企业承担。</w:t>
                  </w:r>
                </w:p>
              </w:tc>
              <w:tc>
                <w:tcPr>
                  <w:tcW w:w="731" w:type="pct"/>
                  <w:vMerge w:val="continue"/>
                  <w:tcBorders>
                    <w:tl2br w:val="nil"/>
                    <w:tr2bl w:val="nil"/>
                  </w:tcBorders>
                  <w:vAlign w:val="center"/>
                </w:tcPr>
                <w:p w14:paraId="74602E79">
                  <w:pPr>
                    <w:pStyle w:val="16"/>
                    <w:rPr>
                      <w:color w:val="auto"/>
                    </w:rPr>
                  </w:pPr>
                </w:p>
              </w:tc>
              <w:tc>
                <w:tcPr>
                  <w:tcW w:w="601" w:type="pct"/>
                  <w:tcBorders>
                    <w:tl2br w:val="nil"/>
                    <w:tr2bl w:val="nil"/>
                  </w:tcBorders>
                  <w:vAlign w:val="center"/>
                </w:tcPr>
                <w:p w14:paraId="28E3DC5B">
                  <w:pPr>
                    <w:pStyle w:val="16"/>
                    <w:rPr>
                      <w:color w:val="auto"/>
                    </w:rPr>
                  </w:pPr>
                  <w:r>
                    <w:rPr>
                      <w:rFonts w:hint="eastAsia"/>
                      <w:color w:val="auto"/>
                    </w:rPr>
                    <w:t>/</w:t>
                  </w:r>
                </w:p>
              </w:tc>
            </w:tr>
            <w:tr w14:paraId="562A7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tcBorders>
                    <w:tl2br w:val="nil"/>
                    <w:tr2bl w:val="nil"/>
                  </w:tcBorders>
                  <w:vAlign w:val="center"/>
                </w:tcPr>
                <w:p w14:paraId="7CC72F99">
                  <w:pPr>
                    <w:pStyle w:val="16"/>
                    <w:rPr>
                      <w:color w:val="auto"/>
                    </w:rPr>
                  </w:pPr>
                  <w:r>
                    <w:rPr>
                      <w:color w:val="auto"/>
                    </w:rPr>
                    <w:t>辅助工程</w:t>
                  </w:r>
                </w:p>
              </w:tc>
              <w:tc>
                <w:tcPr>
                  <w:tcW w:w="435" w:type="pct"/>
                  <w:tcBorders>
                    <w:tl2br w:val="nil"/>
                    <w:tr2bl w:val="nil"/>
                  </w:tcBorders>
                  <w:vAlign w:val="center"/>
                </w:tcPr>
                <w:p w14:paraId="0079F7B9">
                  <w:pPr>
                    <w:pStyle w:val="16"/>
                    <w:jc w:val="center"/>
                    <w:rPr>
                      <w:color w:val="auto"/>
                    </w:rPr>
                  </w:pPr>
                  <w:r>
                    <w:rPr>
                      <w:rFonts w:hint="eastAsia"/>
                      <w:color w:val="auto"/>
                    </w:rPr>
                    <w:t>施工道路</w:t>
                  </w:r>
                </w:p>
              </w:tc>
              <w:tc>
                <w:tcPr>
                  <w:tcW w:w="3001" w:type="pct"/>
                  <w:tcBorders>
                    <w:tl2br w:val="nil"/>
                    <w:tr2bl w:val="nil"/>
                  </w:tcBorders>
                  <w:vAlign w:val="center"/>
                </w:tcPr>
                <w:p w14:paraId="6221207D">
                  <w:pPr>
                    <w:pStyle w:val="16"/>
                    <w:rPr>
                      <w:color w:val="auto"/>
                    </w:rPr>
                  </w:pPr>
                  <w:r>
                    <w:rPr>
                      <w:color w:val="auto"/>
                    </w:rPr>
                    <w:t>本工程</w:t>
                  </w:r>
                  <w:r>
                    <w:rPr>
                      <w:rFonts w:hint="eastAsia"/>
                      <w:color w:val="auto"/>
                    </w:rPr>
                    <w:t>3</w:t>
                  </w:r>
                  <w:r>
                    <w:rPr>
                      <w:color w:val="auto"/>
                    </w:rPr>
                    <w:t>个</w:t>
                  </w:r>
                  <w:r>
                    <w:rPr>
                      <w:rFonts w:hint="eastAsia"/>
                      <w:color w:val="auto"/>
                    </w:rPr>
                    <w:t>片区共新修临时道路5.5km，其中流里河水库片1.2km，</w:t>
                  </w:r>
                  <w:r>
                    <w:rPr>
                      <w:color w:val="auto"/>
                    </w:rPr>
                    <w:t>斯溪沟水库片区</w:t>
                  </w:r>
                  <w:r>
                    <w:rPr>
                      <w:rFonts w:hint="eastAsia"/>
                      <w:color w:val="auto"/>
                    </w:rPr>
                    <w:t>0.8km，</w:t>
                  </w:r>
                  <w:r>
                    <w:rPr>
                      <w:color w:val="auto"/>
                    </w:rPr>
                    <w:t>王家河水库片区</w:t>
                  </w:r>
                  <w:r>
                    <w:rPr>
                      <w:rFonts w:hint="eastAsia"/>
                      <w:color w:val="auto"/>
                    </w:rPr>
                    <w:t>3.5km。</w:t>
                  </w:r>
                  <w:r>
                    <w:rPr>
                      <w:color w:val="auto"/>
                    </w:rPr>
                    <w:t>道路等级为场内三等单车道，路基宽4.5m，路面宽3.5m，道路最大纵坡不大于9%，路面结构为泥结碎石路面。</w:t>
                  </w:r>
                </w:p>
              </w:tc>
              <w:tc>
                <w:tcPr>
                  <w:tcW w:w="731" w:type="pct"/>
                  <w:vMerge w:val="continue"/>
                  <w:tcBorders>
                    <w:tl2br w:val="nil"/>
                    <w:tr2bl w:val="nil"/>
                  </w:tcBorders>
                  <w:vAlign w:val="center"/>
                </w:tcPr>
                <w:p w14:paraId="2BE842AA">
                  <w:pPr>
                    <w:pStyle w:val="16"/>
                    <w:rPr>
                      <w:color w:val="auto"/>
                    </w:rPr>
                  </w:pPr>
                </w:p>
              </w:tc>
              <w:tc>
                <w:tcPr>
                  <w:tcW w:w="601" w:type="pct"/>
                  <w:tcBorders>
                    <w:tl2br w:val="nil"/>
                    <w:tr2bl w:val="nil"/>
                  </w:tcBorders>
                  <w:vAlign w:val="center"/>
                </w:tcPr>
                <w:p w14:paraId="08523E3E">
                  <w:pPr>
                    <w:pStyle w:val="16"/>
                    <w:rPr>
                      <w:color w:val="auto"/>
                    </w:rPr>
                  </w:pPr>
                  <w:r>
                    <w:rPr>
                      <w:color w:val="auto"/>
                    </w:rPr>
                    <w:t>/</w:t>
                  </w:r>
                </w:p>
              </w:tc>
            </w:tr>
            <w:tr w14:paraId="1A13A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restart"/>
                  <w:tcBorders>
                    <w:tl2br w:val="nil"/>
                    <w:tr2bl w:val="nil"/>
                  </w:tcBorders>
                  <w:vAlign w:val="center"/>
                </w:tcPr>
                <w:p w14:paraId="3581A36B">
                  <w:pPr>
                    <w:pStyle w:val="16"/>
                    <w:rPr>
                      <w:color w:val="auto"/>
                    </w:rPr>
                  </w:pPr>
                  <w:r>
                    <w:rPr>
                      <w:color w:val="auto"/>
                    </w:rPr>
                    <w:t>环保</w:t>
                  </w:r>
                </w:p>
                <w:p w14:paraId="49670E05">
                  <w:pPr>
                    <w:pStyle w:val="16"/>
                    <w:rPr>
                      <w:color w:val="auto"/>
                    </w:rPr>
                  </w:pPr>
                  <w:r>
                    <w:rPr>
                      <w:color w:val="auto"/>
                    </w:rPr>
                    <w:t>工程</w:t>
                  </w:r>
                </w:p>
              </w:tc>
              <w:tc>
                <w:tcPr>
                  <w:tcW w:w="435" w:type="pct"/>
                  <w:vMerge w:val="restart"/>
                  <w:tcBorders>
                    <w:tl2br w:val="nil"/>
                    <w:tr2bl w:val="nil"/>
                  </w:tcBorders>
                  <w:vAlign w:val="center"/>
                </w:tcPr>
                <w:p w14:paraId="1191C0F8">
                  <w:pPr>
                    <w:pStyle w:val="16"/>
                    <w:jc w:val="center"/>
                    <w:rPr>
                      <w:color w:val="auto"/>
                    </w:rPr>
                  </w:pPr>
                  <w:r>
                    <w:rPr>
                      <w:color w:val="auto"/>
                    </w:rPr>
                    <w:t>施工期</w:t>
                  </w:r>
                </w:p>
              </w:tc>
              <w:tc>
                <w:tcPr>
                  <w:tcW w:w="3001" w:type="pct"/>
                  <w:tcBorders>
                    <w:tl2br w:val="nil"/>
                    <w:tr2bl w:val="nil"/>
                  </w:tcBorders>
                  <w:vAlign w:val="center"/>
                </w:tcPr>
                <w:p w14:paraId="694E775A">
                  <w:pPr>
                    <w:pStyle w:val="16"/>
                    <w:rPr>
                      <w:color w:val="auto"/>
                    </w:rPr>
                  </w:pPr>
                  <w:r>
                    <w:rPr>
                      <w:color w:val="auto"/>
                    </w:rPr>
                    <w:t>废水</w:t>
                  </w:r>
                  <w:r>
                    <w:rPr>
                      <w:rFonts w:hint="eastAsia"/>
                      <w:color w:val="auto"/>
                    </w:rPr>
                    <w:t>处理设施</w:t>
                  </w:r>
                </w:p>
                <w:p w14:paraId="467CBCB3">
                  <w:pPr>
                    <w:pStyle w:val="16"/>
                    <w:rPr>
                      <w:color w:val="auto"/>
                    </w:rPr>
                  </w:pPr>
                  <w:r>
                    <w:rPr>
                      <w:rFonts w:hint="eastAsia"/>
                      <w:color w:val="auto"/>
                    </w:rPr>
                    <w:t>（1）生活污水：施工生产生活区布置简易旱厕3座，生活污水经旱厕收集处理后，用于周边耕地和林地施肥，不外排；</w:t>
                  </w:r>
                </w:p>
                <w:p w14:paraId="1FA493D5">
                  <w:pPr>
                    <w:pStyle w:val="16"/>
                    <w:rPr>
                      <w:color w:val="auto"/>
                    </w:rPr>
                  </w:pPr>
                  <w:r>
                    <w:rPr>
                      <w:rFonts w:hint="eastAsia"/>
                      <w:color w:val="auto"/>
                    </w:rPr>
                    <w:t>（2）混凝土拌合冲洗废水：因采用</w:t>
                  </w:r>
                  <w:r>
                    <w:rPr>
                      <w:color w:val="auto"/>
                    </w:rPr>
                    <w:t>移动式混凝土拌和机</w:t>
                  </w:r>
                  <w:r>
                    <w:rPr>
                      <w:rFonts w:hint="eastAsia"/>
                      <w:color w:val="auto"/>
                    </w:rPr>
                    <w:t>，其废水</w:t>
                  </w:r>
                  <w:r>
                    <w:rPr>
                      <w:color w:val="auto"/>
                    </w:rPr>
                    <w:t>采用</w:t>
                  </w:r>
                  <w:r>
                    <w:rPr>
                      <w:rFonts w:hint="eastAsia"/>
                      <w:color w:val="auto"/>
                    </w:rPr>
                    <w:t>桶装或罐装方式储存或自然沉淀，</w:t>
                  </w:r>
                  <w:r>
                    <w:rPr>
                      <w:color w:val="auto"/>
                    </w:rPr>
                    <w:t>沉淀</w:t>
                  </w:r>
                  <w:r>
                    <w:rPr>
                      <w:rFonts w:hint="eastAsia"/>
                      <w:color w:val="auto"/>
                    </w:rPr>
                    <w:t>桶</w:t>
                  </w:r>
                  <w:r>
                    <w:rPr>
                      <w:color w:val="auto"/>
                    </w:rPr>
                    <w:t>中加入适量的酸调节pH值至中性，再进行沉淀处理，处理达标后</w:t>
                  </w:r>
                  <w:r>
                    <w:rPr>
                      <w:color w:val="auto"/>
                      <w:lang w:bidi="zh-CN"/>
                    </w:rPr>
                    <w:t>循环用于系统冲洗</w:t>
                  </w:r>
                  <w:r>
                    <w:rPr>
                      <w:rFonts w:hint="eastAsia"/>
                      <w:color w:val="auto"/>
                      <w:lang w:bidi="zh-CN"/>
                    </w:rPr>
                    <w:t>或</w:t>
                  </w:r>
                  <w:r>
                    <w:rPr>
                      <w:color w:val="auto"/>
                      <w:lang w:bidi="zh-CN"/>
                    </w:rPr>
                    <w:t>施工作业区洒水降尘</w:t>
                  </w:r>
                  <w:r>
                    <w:rPr>
                      <w:rFonts w:hint="eastAsia"/>
                      <w:color w:val="auto"/>
                      <w:lang w:bidi="zh-CN"/>
                    </w:rPr>
                    <w:t>等，不外排。</w:t>
                  </w:r>
                </w:p>
              </w:tc>
              <w:tc>
                <w:tcPr>
                  <w:tcW w:w="731" w:type="pct"/>
                  <w:vMerge w:val="continue"/>
                  <w:tcBorders>
                    <w:tl2br w:val="nil"/>
                    <w:tr2bl w:val="nil"/>
                  </w:tcBorders>
                  <w:vAlign w:val="center"/>
                </w:tcPr>
                <w:p w14:paraId="07C80C87">
                  <w:pPr>
                    <w:pStyle w:val="16"/>
                    <w:rPr>
                      <w:color w:val="auto"/>
                    </w:rPr>
                  </w:pPr>
                </w:p>
              </w:tc>
              <w:tc>
                <w:tcPr>
                  <w:tcW w:w="601" w:type="pct"/>
                  <w:tcBorders>
                    <w:tl2br w:val="nil"/>
                    <w:tr2bl w:val="nil"/>
                  </w:tcBorders>
                  <w:vAlign w:val="center"/>
                </w:tcPr>
                <w:p w14:paraId="209548B9">
                  <w:pPr>
                    <w:pStyle w:val="16"/>
                    <w:rPr>
                      <w:color w:val="auto"/>
                    </w:rPr>
                  </w:pPr>
                  <w:r>
                    <w:rPr>
                      <w:color w:val="auto"/>
                    </w:rPr>
                    <w:t>/</w:t>
                  </w:r>
                </w:p>
              </w:tc>
            </w:tr>
            <w:tr w14:paraId="0C7C8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7EB152EC">
                  <w:pPr>
                    <w:pStyle w:val="16"/>
                    <w:rPr>
                      <w:color w:val="auto"/>
                    </w:rPr>
                  </w:pPr>
                </w:p>
              </w:tc>
              <w:tc>
                <w:tcPr>
                  <w:tcW w:w="435" w:type="pct"/>
                  <w:vMerge w:val="continue"/>
                  <w:tcBorders>
                    <w:tl2br w:val="nil"/>
                    <w:tr2bl w:val="nil"/>
                  </w:tcBorders>
                  <w:vAlign w:val="center"/>
                </w:tcPr>
                <w:p w14:paraId="73C71354">
                  <w:pPr>
                    <w:pStyle w:val="16"/>
                    <w:rPr>
                      <w:color w:val="auto"/>
                    </w:rPr>
                  </w:pPr>
                </w:p>
              </w:tc>
              <w:tc>
                <w:tcPr>
                  <w:tcW w:w="3001" w:type="pct"/>
                  <w:tcBorders>
                    <w:tl2br w:val="nil"/>
                    <w:tr2bl w:val="nil"/>
                  </w:tcBorders>
                  <w:vAlign w:val="center"/>
                </w:tcPr>
                <w:p w14:paraId="6C25DDE8">
                  <w:pPr>
                    <w:pStyle w:val="16"/>
                    <w:rPr>
                      <w:color w:val="auto"/>
                    </w:rPr>
                  </w:pPr>
                  <w:r>
                    <w:rPr>
                      <w:color w:val="auto"/>
                    </w:rPr>
                    <w:t>废气</w:t>
                  </w:r>
                  <w:r>
                    <w:rPr>
                      <w:rFonts w:hint="eastAsia"/>
                      <w:color w:val="auto"/>
                    </w:rPr>
                    <w:t>处理设施</w:t>
                  </w:r>
                </w:p>
                <w:p w14:paraId="1E579A5F">
                  <w:pPr>
                    <w:pStyle w:val="16"/>
                    <w:rPr>
                      <w:color w:val="auto"/>
                    </w:rPr>
                  </w:pPr>
                  <w:r>
                    <w:rPr>
                      <w:rFonts w:hint="eastAsia"/>
                      <w:color w:val="auto"/>
                    </w:rPr>
                    <w:t>（1）交通扬尘：施工道路地面硬化，洒水抑尘，进出场设置冲洗场所；</w:t>
                  </w:r>
                </w:p>
                <w:p w14:paraId="4666B1DB">
                  <w:pPr>
                    <w:pStyle w:val="16"/>
                    <w:rPr>
                      <w:color w:val="auto"/>
                    </w:rPr>
                  </w:pPr>
                  <w:r>
                    <w:rPr>
                      <w:rFonts w:hint="eastAsia"/>
                      <w:color w:val="auto"/>
                    </w:rPr>
                    <w:t>（2）施工机械燃油废气和车辆尾气：车辆、施工设备定期维护；</w:t>
                  </w:r>
                </w:p>
                <w:p w14:paraId="5129BEEA">
                  <w:pPr>
                    <w:pStyle w:val="16"/>
                    <w:rPr>
                      <w:color w:val="auto"/>
                    </w:rPr>
                  </w:pPr>
                  <w:r>
                    <w:rPr>
                      <w:rFonts w:hint="eastAsia"/>
                      <w:color w:val="auto"/>
                    </w:rPr>
                    <w:t>（3）拌和粉尘：8台拌合机加盖；</w:t>
                  </w:r>
                </w:p>
                <w:p w14:paraId="373D776D">
                  <w:pPr>
                    <w:pStyle w:val="16"/>
                    <w:rPr>
                      <w:color w:val="auto"/>
                    </w:rPr>
                  </w:pPr>
                  <w:r>
                    <w:rPr>
                      <w:rFonts w:hint="eastAsia"/>
                      <w:color w:val="auto"/>
                    </w:rPr>
                    <w:t>（4）场地扬尘：设置围挡、挡渣墙、排水沟、堆场覆膜、洒水、喷雾等，水泥库、粉煤灰库全封闭。</w:t>
                  </w:r>
                </w:p>
              </w:tc>
              <w:tc>
                <w:tcPr>
                  <w:tcW w:w="731" w:type="pct"/>
                  <w:vMerge w:val="continue"/>
                  <w:tcBorders>
                    <w:tl2br w:val="nil"/>
                    <w:tr2bl w:val="nil"/>
                  </w:tcBorders>
                  <w:vAlign w:val="center"/>
                </w:tcPr>
                <w:p w14:paraId="4C1B5874">
                  <w:pPr>
                    <w:pStyle w:val="16"/>
                    <w:rPr>
                      <w:color w:val="auto"/>
                    </w:rPr>
                  </w:pPr>
                </w:p>
              </w:tc>
              <w:tc>
                <w:tcPr>
                  <w:tcW w:w="601" w:type="pct"/>
                  <w:tcBorders>
                    <w:tl2br w:val="nil"/>
                    <w:tr2bl w:val="nil"/>
                  </w:tcBorders>
                  <w:vAlign w:val="center"/>
                </w:tcPr>
                <w:p w14:paraId="501D3B66">
                  <w:pPr>
                    <w:pStyle w:val="16"/>
                    <w:rPr>
                      <w:color w:val="auto"/>
                    </w:rPr>
                  </w:pPr>
                  <w:r>
                    <w:rPr>
                      <w:color w:val="auto"/>
                    </w:rPr>
                    <w:t>/</w:t>
                  </w:r>
                </w:p>
              </w:tc>
            </w:tr>
            <w:tr w14:paraId="26EFC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20A29F20">
                  <w:pPr>
                    <w:pStyle w:val="16"/>
                    <w:rPr>
                      <w:color w:val="auto"/>
                    </w:rPr>
                  </w:pPr>
                </w:p>
              </w:tc>
              <w:tc>
                <w:tcPr>
                  <w:tcW w:w="435" w:type="pct"/>
                  <w:vMerge w:val="continue"/>
                  <w:tcBorders>
                    <w:tl2br w:val="nil"/>
                    <w:tr2bl w:val="nil"/>
                  </w:tcBorders>
                  <w:vAlign w:val="center"/>
                </w:tcPr>
                <w:p w14:paraId="19BF5B94">
                  <w:pPr>
                    <w:pStyle w:val="16"/>
                    <w:rPr>
                      <w:color w:val="auto"/>
                    </w:rPr>
                  </w:pPr>
                </w:p>
              </w:tc>
              <w:tc>
                <w:tcPr>
                  <w:tcW w:w="3001" w:type="pct"/>
                  <w:tcBorders>
                    <w:tl2br w:val="nil"/>
                    <w:tr2bl w:val="nil"/>
                  </w:tcBorders>
                  <w:vAlign w:val="center"/>
                </w:tcPr>
                <w:p w14:paraId="5D290525">
                  <w:pPr>
                    <w:pStyle w:val="16"/>
                    <w:rPr>
                      <w:color w:val="auto"/>
                    </w:rPr>
                  </w:pPr>
                  <w:r>
                    <w:rPr>
                      <w:color w:val="auto"/>
                    </w:rPr>
                    <w:t>噪声</w:t>
                  </w:r>
                  <w:r>
                    <w:rPr>
                      <w:rFonts w:hint="eastAsia"/>
                      <w:color w:val="auto"/>
                    </w:rPr>
                    <w:t>防治措施：合理布局、加强管理；禁止夜间施工，严格管制交通；选用低噪设备，保证设备正常运转；设置移动隔声屏障等。</w:t>
                  </w:r>
                </w:p>
              </w:tc>
              <w:tc>
                <w:tcPr>
                  <w:tcW w:w="731" w:type="pct"/>
                  <w:vMerge w:val="continue"/>
                  <w:tcBorders>
                    <w:tl2br w:val="nil"/>
                    <w:tr2bl w:val="nil"/>
                  </w:tcBorders>
                  <w:vAlign w:val="center"/>
                </w:tcPr>
                <w:p w14:paraId="09B7481E">
                  <w:pPr>
                    <w:pStyle w:val="16"/>
                    <w:rPr>
                      <w:color w:val="auto"/>
                    </w:rPr>
                  </w:pPr>
                </w:p>
              </w:tc>
              <w:tc>
                <w:tcPr>
                  <w:tcW w:w="601" w:type="pct"/>
                  <w:tcBorders>
                    <w:tl2br w:val="nil"/>
                    <w:tr2bl w:val="nil"/>
                  </w:tcBorders>
                  <w:vAlign w:val="center"/>
                </w:tcPr>
                <w:p w14:paraId="57565B0C">
                  <w:pPr>
                    <w:pStyle w:val="16"/>
                    <w:rPr>
                      <w:color w:val="auto"/>
                    </w:rPr>
                  </w:pPr>
                  <w:r>
                    <w:rPr>
                      <w:color w:val="auto"/>
                    </w:rPr>
                    <w:t>/</w:t>
                  </w:r>
                </w:p>
              </w:tc>
            </w:tr>
            <w:tr w14:paraId="5D764B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57741B44">
                  <w:pPr>
                    <w:pStyle w:val="16"/>
                    <w:rPr>
                      <w:color w:val="auto"/>
                    </w:rPr>
                  </w:pPr>
                </w:p>
              </w:tc>
              <w:tc>
                <w:tcPr>
                  <w:tcW w:w="435" w:type="pct"/>
                  <w:vMerge w:val="continue"/>
                  <w:tcBorders>
                    <w:tl2br w:val="nil"/>
                    <w:tr2bl w:val="nil"/>
                  </w:tcBorders>
                  <w:vAlign w:val="center"/>
                </w:tcPr>
                <w:p w14:paraId="1C46D14D">
                  <w:pPr>
                    <w:pStyle w:val="16"/>
                    <w:rPr>
                      <w:color w:val="auto"/>
                    </w:rPr>
                  </w:pPr>
                </w:p>
              </w:tc>
              <w:tc>
                <w:tcPr>
                  <w:tcW w:w="3001" w:type="pct"/>
                  <w:tcBorders>
                    <w:tl2br w:val="nil"/>
                    <w:tr2bl w:val="nil"/>
                  </w:tcBorders>
                  <w:vAlign w:val="center"/>
                </w:tcPr>
                <w:p w14:paraId="01E9D652">
                  <w:pPr>
                    <w:pStyle w:val="16"/>
                    <w:rPr>
                      <w:color w:val="auto"/>
                    </w:rPr>
                  </w:pPr>
                  <w:r>
                    <w:rPr>
                      <w:rFonts w:hint="eastAsia"/>
                      <w:color w:val="auto"/>
                    </w:rPr>
                    <w:t>固废处置措施</w:t>
                  </w:r>
                </w:p>
                <w:p w14:paraId="6395A76F">
                  <w:pPr>
                    <w:pStyle w:val="16"/>
                    <w:rPr>
                      <w:color w:val="auto"/>
                    </w:rPr>
                  </w:pPr>
                  <w:r>
                    <w:rPr>
                      <w:rFonts w:hint="eastAsia"/>
                      <w:color w:val="auto"/>
                    </w:rPr>
                    <w:t>（1）生活垃圾：设置垃圾桶、箱，收集后环卫清运。（2）工程土石方：工程开挖前进行表土剥离，并集中堆放，采取临时拦挡、覆盖等措施防治水土流失，后期用于临时场地植被恢复，最终无余方；工程开挖土石方集中暂存，并设置截水沟、排水沟和沉沙池等水土流失防治措施，后期用于场地回填和场地平整，最终无余方。</w:t>
                  </w:r>
                </w:p>
                <w:p w14:paraId="63D84964">
                  <w:pPr>
                    <w:pStyle w:val="16"/>
                    <w:rPr>
                      <w:color w:val="auto"/>
                    </w:rPr>
                  </w:pPr>
                  <w:r>
                    <w:rPr>
                      <w:rFonts w:hint="eastAsia"/>
                      <w:color w:val="auto"/>
                    </w:rPr>
                    <w:t>（3）废弃建筑垃圾和包装材料：废木、废钢筋等可回收的部分交由废弃资源回收公司处理；不可利用的建筑垃圾由施工单位将其运至政府部门指定的建筑垃圾填埋场进行堆放并做压实处理。</w:t>
                  </w:r>
                </w:p>
              </w:tc>
              <w:tc>
                <w:tcPr>
                  <w:tcW w:w="731" w:type="pct"/>
                  <w:vMerge w:val="continue"/>
                  <w:tcBorders>
                    <w:tl2br w:val="nil"/>
                    <w:tr2bl w:val="nil"/>
                  </w:tcBorders>
                  <w:vAlign w:val="center"/>
                </w:tcPr>
                <w:p w14:paraId="7B847A09">
                  <w:pPr>
                    <w:pStyle w:val="16"/>
                    <w:rPr>
                      <w:color w:val="auto"/>
                    </w:rPr>
                  </w:pPr>
                </w:p>
              </w:tc>
              <w:tc>
                <w:tcPr>
                  <w:tcW w:w="601" w:type="pct"/>
                  <w:tcBorders>
                    <w:tl2br w:val="nil"/>
                    <w:tr2bl w:val="nil"/>
                  </w:tcBorders>
                  <w:vAlign w:val="center"/>
                </w:tcPr>
                <w:p w14:paraId="244A9D03">
                  <w:pPr>
                    <w:pStyle w:val="16"/>
                    <w:rPr>
                      <w:color w:val="auto"/>
                    </w:rPr>
                  </w:pPr>
                  <w:r>
                    <w:rPr>
                      <w:color w:val="auto"/>
                    </w:rPr>
                    <w:t>/</w:t>
                  </w:r>
                </w:p>
              </w:tc>
            </w:tr>
            <w:tr w14:paraId="5BD2B7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vAlign w:val="center"/>
                </w:tcPr>
                <w:p w14:paraId="1E446EB9">
                  <w:pPr>
                    <w:pStyle w:val="16"/>
                    <w:rPr>
                      <w:color w:val="auto"/>
                    </w:rPr>
                  </w:pPr>
                </w:p>
              </w:tc>
              <w:tc>
                <w:tcPr>
                  <w:tcW w:w="435" w:type="pct"/>
                  <w:tcBorders>
                    <w:tl2br w:val="nil"/>
                    <w:tr2bl w:val="nil"/>
                  </w:tcBorders>
                  <w:vAlign w:val="center"/>
                </w:tcPr>
                <w:p w14:paraId="4258799C">
                  <w:pPr>
                    <w:pStyle w:val="16"/>
                    <w:rPr>
                      <w:color w:val="auto"/>
                    </w:rPr>
                  </w:pPr>
                  <w:r>
                    <w:rPr>
                      <w:color w:val="auto"/>
                    </w:rPr>
                    <w:t>生态环境及水土流失</w:t>
                  </w:r>
                </w:p>
              </w:tc>
              <w:tc>
                <w:tcPr>
                  <w:tcW w:w="3001" w:type="pct"/>
                  <w:tcBorders>
                    <w:tl2br w:val="nil"/>
                    <w:tr2bl w:val="nil"/>
                  </w:tcBorders>
                  <w:vAlign w:val="center"/>
                </w:tcPr>
                <w:p w14:paraId="573E3DAC">
                  <w:pPr>
                    <w:pStyle w:val="16"/>
                    <w:rPr>
                      <w:color w:val="auto"/>
                    </w:rPr>
                  </w:pPr>
                  <w:r>
                    <w:rPr>
                      <w:rFonts w:hint="eastAsia"/>
                      <w:color w:val="auto"/>
                    </w:rPr>
                    <w:t>加强管理、宣教，设置宣传栏、警示牌，严格监管，避免野蛮施工；按水保要求实施水土保持措施，施工前剥离表土、施工完成后回覆并恢复植被；裸土面使用防雨布遮盖；优化工程施工方案和施工布置，控制和减少施工占地，场地使用彩条旗或围档进行限界；严禁施工材料乱堆乱放、施工垃圾的随意堆放处置，影响植物物种的生长；保护表土，应尽量保存当地的熟化土，对于建设中永久占地、临时占地中占用耕地部分的表层土予以收集保存，施工结束后及时清理、松土、覆盖耕作土，复耕或选择当地适宜植物及时恢复绿化；裸露面及上方的现存植被也应该进行一定的拉铁丝网加固措施。</w:t>
                  </w:r>
                </w:p>
              </w:tc>
              <w:tc>
                <w:tcPr>
                  <w:tcW w:w="731" w:type="pct"/>
                  <w:vMerge w:val="continue"/>
                  <w:tcBorders>
                    <w:tl2br w:val="nil"/>
                    <w:tr2bl w:val="nil"/>
                  </w:tcBorders>
                  <w:vAlign w:val="center"/>
                </w:tcPr>
                <w:p w14:paraId="09D0CDD3">
                  <w:pPr>
                    <w:pStyle w:val="16"/>
                    <w:rPr>
                      <w:color w:val="auto"/>
                    </w:rPr>
                  </w:pPr>
                </w:p>
              </w:tc>
              <w:tc>
                <w:tcPr>
                  <w:tcW w:w="601" w:type="pct"/>
                  <w:tcBorders>
                    <w:tl2br w:val="nil"/>
                    <w:tr2bl w:val="nil"/>
                  </w:tcBorders>
                  <w:vAlign w:val="center"/>
                </w:tcPr>
                <w:p w14:paraId="2A74BF11">
                  <w:pPr>
                    <w:pStyle w:val="16"/>
                    <w:rPr>
                      <w:color w:val="auto"/>
                    </w:rPr>
                  </w:pPr>
                  <w:r>
                    <w:rPr>
                      <w:color w:val="auto"/>
                    </w:rPr>
                    <w:t>/</w:t>
                  </w:r>
                </w:p>
              </w:tc>
            </w:tr>
          </w:tbl>
          <w:p w14:paraId="00F867E9">
            <w:pPr>
              <w:ind w:firstLine="480"/>
              <w:rPr>
                <w:color w:val="auto"/>
              </w:rPr>
            </w:pPr>
          </w:p>
          <w:p w14:paraId="309BD432">
            <w:pPr>
              <w:adjustRightInd w:val="0"/>
              <w:snapToGrid w:val="0"/>
              <w:ind w:firstLine="482"/>
              <w:rPr>
                <w:b/>
                <w:bCs/>
                <w:color w:val="auto"/>
              </w:rPr>
            </w:pPr>
            <w:r>
              <w:rPr>
                <w:rFonts w:hint="eastAsia" w:ascii="宋体" w:hAnsi="宋体" w:cs="宋体"/>
                <w:b/>
                <w:bCs/>
                <w:color w:val="auto"/>
              </w:rPr>
              <w:t>五</w:t>
            </w:r>
            <w:r>
              <w:rPr>
                <w:b/>
                <w:bCs/>
                <w:color w:val="auto"/>
              </w:rPr>
              <w:t>、项目组成及</w:t>
            </w:r>
            <w:r>
              <w:rPr>
                <w:rFonts w:hint="eastAsia"/>
                <w:b/>
                <w:bCs/>
                <w:color w:val="auto"/>
              </w:rPr>
              <w:t>规模</w:t>
            </w:r>
          </w:p>
          <w:p w14:paraId="164E2B6F">
            <w:pPr>
              <w:ind w:firstLine="482"/>
              <w:rPr>
                <w:b/>
                <w:bCs/>
                <w:color w:val="auto"/>
              </w:rPr>
            </w:pPr>
            <w:r>
              <w:rPr>
                <w:rFonts w:hint="eastAsia"/>
                <w:b/>
                <w:bCs/>
                <w:color w:val="auto"/>
              </w:rPr>
              <w:t>（1）项目区</w:t>
            </w:r>
            <w:r>
              <w:rPr>
                <w:b/>
                <w:bCs/>
                <w:color w:val="auto"/>
              </w:rPr>
              <w:t>水源情况</w:t>
            </w:r>
          </w:p>
          <w:p w14:paraId="4FE5079B">
            <w:pPr>
              <w:ind w:firstLine="480"/>
              <w:rPr>
                <w:color w:val="auto"/>
              </w:rPr>
            </w:pPr>
            <w:r>
              <w:rPr>
                <w:color w:val="auto"/>
              </w:rPr>
              <w:t>根据现场调查，项目区周边有已建且正常运行的小型水库，分别为：流里河水库、向家湾水库、澌溪沟水库、东风水库、王家河水库等，河流主要为大通江。</w:t>
            </w:r>
            <w:r>
              <w:rPr>
                <w:rFonts w:hint="eastAsia"/>
                <w:color w:val="auto"/>
              </w:rPr>
              <w:t>本工程相关</w:t>
            </w:r>
            <w:r>
              <w:rPr>
                <w:color w:val="auto"/>
              </w:rPr>
              <w:t>水源情况介绍如下：</w:t>
            </w:r>
          </w:p>
          <w:p w14:paraId="2061ADB0">
            <w:pPr>
              <w:pStyle w:val="17"/>
              <w:rPr>
                <w:rFonts w:hint="default"/>
                <w:color w:val="auto"/>
              </w:rPr>
            </w:pPr>
            <w:r>
              <w:rPr>
                <w:color w:val="auto"/>
              </w:rPr>
              <w:t>表2-2 本次涉及的水库特性统计表</w:t>
            </w:r>
          </w:p>
          <w:tbl>
            <w:tblPr>
              <w:tblStyle w:val="1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5"/>
              <w:gridCol w:w="877"/>
              <w:gridCol w:w="1021"/>
              <w:gridCol w:w="779"/>
              <w:gridCol w:w="779"/>
              <w:gridCol w:w="834"/>
              <w:gridCol w:w="784"/>
              <w:gridCol w:w="1007"/>
              <w:gridCol w:w="834"/>
              <w:gridCol w:w="834"/>
            </w:tblGrid>
            <w:tr w14:paraId="7EC86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255" w:type="pct"/>
                  <w:tcBorders>
                    <w:tl2br w:val="nil"/>
                    <w:tr2bl w:val="nil"/>
                  </w:tcBorders>
                  <w:vAlign w:val="center"/>
                </w:tcPr>
                <w:p w14:paraId="5E50ED63">
                  <w:pPr>
                    <w:pStyle w:val="16"/>
                    <w:jc w:val="center"/>
                    <w:rPr>
                      <w:color w:val="auto"/>
                    </w:rPr>
                  </w:pPr>
                  <w:r>
                    <w:rPr>
                      <w:rFonts w:hint="eastAsia"/>
                      <w:color w:val="auto"/>
                    </w:rPr>
                    <w:t>序号</w:t>
                  </w:r>
                </w:p>
              </w:tc>
              <w:tc>
                <w:tcPr>
                  <w:tcW w:w="536" w:type="pct"/>
                  <w:tcBorders>
                    <w:tl2br w:val="nil"/>
                    <w:tr2bl w:val="nil"/>
                  </w:tcBorders>
                  <w:vAlign w:val="center"/>
                </w:tcPr>
                <w:p w14:paraId="61AFCE7F">
                  <w:pPr>
                    <w:pStyle w:val="16"/>
                    <w:jc w:val="center"/>
                    <w:rPr>
                      <w:color w:val="auto"/>
                    </w:rPr>
                  </w:pPr>
                  <w:r>
                    <w:rPr>
                      <w:rFonts w:hint="eastAsia"/>
                      <w:color w:val="auto"/>
                    </w:rPr>
                    <w:t>水源名称</w:t>
                  </w:r>
                </w:p>
              </w:tc>
              <w:tc>
                <w:tcPr>
                  <w:tcW w:w="624" w:type="pct"/>
                  <w:tcBorders>
                    <w:tl2br w:val="nil"/>
                    <w:tr2bl w:val="nil"/>
                  </w:tcBorders>
                  <w:vAlign w:val="center"/>
                </w:tcPr>
                <w:p w14:paraId="3091CEAE">
                  <w:pPr>
                    <w:pStyle w:val="16"/>
                    <w:jc w:val="center"/>
                    <w:rPr>
                      <w:color w:val="auto"/>
                    </w:rPr>
                  </w:pPr>
                  <w:r>
                    <w:rPr>
                      <w:rFonts w:hint="eastAsia"/>
                      <w:color w:val="auto"/>
                    </w:rPr>
                    <w:t>水源流域面积（</w:t>
                  </w:r>
                  <w:r>
                    <w:rPr>
                      <w:color w:val="auto"/>
                    </w:rPr>
                    <w:t>km</w:t>
                  </w:r>
                  <w:r>
                    <w:rPr>
                      <w:color w:val="auto"/>
                      <w:vertAlign w:val="superscript"/>
                    </w:rPr>
                    <w:t>2</w:t>
                  </w:r>
                  <w:r>
                    <w:rPr>
                      <w:rFonts w:hint="eastAsia"/>
                      <w:color w:val="auto"/>
                    </w:rPr>
                    <w:t>）</w:t>
                  </w:r>
                </w:p>
              </w:tc>
              <w:tc>
                <w:tcPr>
                  <w:tcW w:w="477" w:type="pct"/>
                  <w:tcBorders>
                    <w:tl2br w:val="nil"/>
                    <w:tr2bl w:val="nil"/>
                  </w:tcBorders>
                  <w:vAlign w:val="center"/>
                </w:tcPr>
                <w:p w14:paraId="64B2BC4E">
                  <w:pPr>
                    <w:pStyle w:val="16"/>
                    <w:jc w:val="center"/>
                    <w:rPr>
                      <w:color w:val="auto"/>
                    </w:rPr>
                  </w:pPr>
                  <w:r>
                    <w:rPr>
                      <w:rFonts w:hint="eastAsia"/>
                      <w:color w:val="auto"/>
                    </w:rPr>
                    <w:t>正常库容</w:t>
                  </w:r>
                </w:p>
              </w:tc>
              <w:tc>
                <w:tcPr>
                  <w:tcW w:w="477" w:type="pct"/>
                  <w:tcBorders>
                    <w:tl2br w:val="nil"/>
                    <w:tr2bl w:val="nil"/>
                  </w:tcBorders>
                  <w:vAlign w:val="center"/>
                </w:tcPr>
                <w:p w14:paraId="37EEE709">
                  <w:pPr>
                    <w:pStyle w:val="16"/>
                    <w:jc w:val="center"/>
                    <w:rPr>
                      <w:color w:val="auto"/>
                    </w:rPr>
                  </w:pPr>
                  <w:r>
                    <w:rPr>
                      <w:rFonts w:hint="eastAsia"/>
                      <w:color w:val="auto"/>
                    </w:rPr>
                    <w:t>死库容</w:t>
                  </w:r>
                </w:p>
              </w:tc>
              <w:tc>
                <w:tcPr>
                  <w:tcW w:w="510" w:type="pct"/>
                  <w:tcBorders>
                    <w:tl2br w:val="nil"/>
                    <w:tr2bl w:val="nil"/>
                  </w:tcBorders>
                  <w:vAlign w:val="center"/>
                </w:tcPr>
                <w:p w14:paraId="632210EB">
                  <w:pPr>
                    <w:pStyle w:val="16"/>
                    <w:jc w:val="center"/>
                    <w:rPr>
                      <w:color w:val="auto"/>
                    </w:rPr>
                  </w:pPr>
                  <w:r>
                    <w:rPr>
                      <w:rFonts w:hint="eastAsia"/>
                      <w:color w:val="auto"/>
                    </w:rPr>
                    <w:t>设计灌面（亩）</w:t>
                  </w:r>
                </w:p>
              </w:tc>
              <w:tc>
                <w:tcPr>
                  <w:tcW w:w="480" w:type="pct"/>
                  <w:tcBorders>
                    <w:tl2br w:val="nil"/>
                    <w:tr2bl w:val="nil"/>
                  </w:tcBorders>
                  <w:vAlign w:val="center"/>
                </w:tcPr>
                <w:p w14:paraId="2CF0009B">
                  <w:pPr>
                    <w:pStyle w:val="16"/>
                    <w:jc w:val="center"/>
                    <w:rPr>
                      <w:color w:val="auto"/>
                    </w:rPr>
                  </w:pPr>
                  <w:r>
                    <w:rPr>
                      <w:rFonts w:hint="eastAsia"/>
                      <w:color w:val="auto"/>
                    </w:rPr>
                    <w:t>有效灌面（亩）</w:t>
                  </w:r>
                </w:p>
              </w:tc>
              <w:tc>
                <w:tcPr>
                  <w:tcW w:w="616" w:type="pct"/>
                  <w:tcBorders>
                    <w:tl2br w:val="nil"/>
                    <w:tr2bl w:val="nil"/>
                  </w:tcBorders>
                  <w:vAlign w:val="center"/>
                </w:tcPr>
                <w:p w14:paraId="0E54101B">
                  <w:pPr>
                    <w:pStyle w:val="16"/>
                    <w:jc w:val="center"/>
                    <w:rPr>
                      <w:color w:val="auto"/>
                    </w:rPr>
                  </w:pPr>
                  <w:r>
                    <w:rPr>
                      <w:rFonts w:hint="eastAsia"/>
                      <w:color w:val="auto"/>
                    </w:rPr>
                    <w:t>设计供水人口</w:t>
                  </w:r>
                </w:p>
              </w:tc>
              <w:tc>
                <w:tcPr>
                  <w:tcW w:w="510" w:type="pct"/>
                  <w:tcBorders>
                    <w:tl2br w:val="nil"/>
                    <w:tr2bl w:val="nil"/>
                  </w:tcBorders>
                  <w:vAlign w:val="center"/>
                </w:tcPr>
                <w:p w14:paraId="49FA8E76">
                  <w:pPr>
                    <w:pStyle w:val="16"/>
                    <w:jc w:val="center"/>
                    <w:rPr>
                      <w:color w:val="auto"/>
                    </w:rPr>
                  </w:pPr>
                  <w:r>
                    <w:rPr>
                      <w:rFonts w:hint="eastAsia"/>
                      <w:color w:val="auto"/>
                    </w:rPr>
                    <w:t>本次涉及灌面</w:t>
                  </w:r>
                </w:p>
              </w:tc>
              <w:tc>
                <w:tcPr>
                  <w:tcW w:w="510" w:type="pct"/>
                  <w:tcBorders>
                    <w:tl2br w:val="nil"/>
                    <w:tr2bl w:val="nil"/>
                  </w:tcBorders>
                  <w:vAlign w:val="center"/>
                </w:tcPr>
                <w:p w14:paraId="2C38169E">
                  <w:pPr>
                    <w:pStyle w:val="16"/>
                    <w:jc w:val="center"/>
                    <w:rPr>
                      <w:color w:val="auto"/>
                    </w:rPr>
                  </w:pPr>
                  <w:r>
                    <w:rPr>
                      <w:rFonts w:hint="eastAsia"/>
                      <w:color w:val="auto"/>
                    </w:rPr>
                    <w:t>本次涉及人口</w:t>
                  </w:r>
                </w:p>
              </w:tc>
            </w:tr>
            <w:tr w14:paraId="16755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vAlign w:val="center"/>
                </w:tcPr>
                <w:p w14:paraId="68E69DCB">
                  <w:pPr>
                    <w:pStyle w:val="16"/>
                    <w:jc w:val="center"/>
                    <w:rPr>
                      <w:color w:val="auto"/>
                    </w:rPr>
                  </w:pPr>
                  <w:r>
                    <w:rPr>
                      <w:color w:val="auto"/>
                    </w:rPr>
                    <w:t>1</w:t>
                  </w:r>
                </w:p>
              </w:tc>
              <w:tc>
                <w:tcPr>
                  <w:tcW w:w="536" w:type="pct"/>
                  <w:tcBorders>
                    <w:tl2br w:val="nil"/>
                    <w:tr2bl w:val="nil"/>
                  </w:tcBorders>
                  <w:vAlign w:val="center"/>
                </w:tcPr>
                <w:p w14:paraId="7240674F">
                  <w:pPr>
                    <w:pStyle w:val="16"/>
                    <w:jc w:val="center"/>
                    <w:rPr>
                      <w:color w:val="auto"/>
                    </w:rPr>
                  </w:pPr>
                  <w:r>
                    <w:rPr>
                      <w:rFonts w:hint="eastAsia"/>
                      <w:color w:val="auto"/>
                    </w:rPr>
                    <w:t>流里河水库</w:t>
                  </w:r>
                </w:p>
              </w:tc>
              <w:tc>
                <w:tcPr>
                  <w:tcW w:w="624" w:type="pct"/>
                  <w:tcBorders>
                    <w:tl2br w:val="nil"/>
                    <w:tr2bl w:val="nil"/>
                  </w:tcBorders>
                  <w:vAlign w:val="center"/>
                </w:tcPr>
                <w:p w14:paraId="2BC8377D">
                  <w:pPr>
                    <w:pStyle w:val="16"/>
                    <w:jc w:val="center"/>
                    <w:rPr>
                      <w:color w:val="auto"/>
                    </w:rPr>
                  </w:pPr>
                  <w:r>
                    <w:rPr>
                      <w:color w:val="auto"/>
                    </w:rPr>
                    <w:t>4.2</w:t>
                  </w:r>
                </w:p>
              </w:tc>
              <w:tc>
                <w:tcPr>
                  <w:tcW w:w="477" w:type="pct"/>
                  <w:tcBorders>
                    <w:tl2br w:val="nil"/>
                    <w:tr2bl w:val="nil"/>
                  </w:tcBorders>
                  <w:vAlign w:val="center"/>
                </w:tcPr>
                <w:p w14:paraId="3B057E91">
                  <w:pPr>
                    <w:pStyle w:val="16"/>
                    <w:jc w:val="center"/>
                    <w:rPr>
                      <w:color w:val="auto"/>
                    </w:rPr>
                  </w:pPr>
                  <w:r>
                    <w:rPr>
                      <w:color w:val="auto"/>
                    </w:rPr>
                    <w:t>164.5</w:t>
                  </w:r>
                </w:p>
              </w:tc>
              <w:tc>
                <w:tcPr>
                  <w:tcW w:w="477" w:type="pct"/>
                  <w:tcBorders>
                    <w:tl2br w:val="nil"/>
                    <w:tr2bl w:val="nil"/>
                  </w:tcBorders>
                  <w:vAlign w:val="center"/>
                </w:tcPr>
                <w:p w14:paraId="5CD55771">
                  <w:pPr>
                    <w:pStyle w:val="16"/>
                    <w:jc w:val="center"/>
                    <w:rPr>
                      <w:color w:val="auto"/>
                    </w:rPr>
                  </w:pPr>
                  <w:r>
                    <w:rPr>
                      <w:color w:val="auto"/>
                    </w:rPr>
                    <w:t>24.5</w:t>
                  </w:r>
                </w:p>
              </w:tc>
              <w:tc>
                <w:tcPr>
                  <w:tcW w:w="510" w:type="pct"/>
                  <w:tcBorders>
                    <w:tl2br w:val="nil"/>
                    <w:tr2bl w:val="nil"/>
                  </w:tcBorders>
                  <w:vAlign w:val="center"/>
                </w:tcPr>
                <w:p w14:paraId="7F8870EC">
                  <w:pPr>
                    <w:pStyle w:val="16"/>
                    <w:jc w:val="center"/>
                    <w:rPr>
                      <w:color w:val="auto"/>
                    </w:rPr>
                  </w:pPr>
                  <w:r>
                    <w:rPr>
                      <w:color w:val="auto"/>
                    </w:rPr>
                    <w:t>7270</w:t>
                  </w:r>
                </w:p>
              </w:tc>
              <w:tc>
                <w:tcPr>
                  <w:tcW w:w="480" w:type="pct"/>
                  <w:tcBorders>
                    <w:tl2br w:val="nil"/>
                    <w:tr2bl w:val="nil"/>
                  </w:tcBorders>
                  <w:vAlign w:val="center"/>
                </w:tcPr>
                <w:p w14:paraId="30611D00">
                  <w:pPr>
                    <w:pStyle w:val="16"/>
                    <w:jc w:val="center"/>
                    <w:rPr>
                      <w:color w:val="auto"/>
                    </w:rPr>
                  </w:pPr>
                  <w:r>
                    <w:rPr>
                      <w:rFonts w:hint="eastAsia"/>
                      <w:color w:val="auto"/>
                    </w:rPr>
                    <w:t>6500</w:t>
                  </w:r>
                </w:p>
              </w:tc>
              <w:tc>
                <w:tcPr>
                  <w:tcW w:w="616" w:type="pct"/>
                  <w:tcBorders>
                    <w:tl2br w:val="nil"/>
                    <w:tr2bl w:val="nil"/>
                  </w:tcBorders>
                  <w:vAlign w:val="center"/>
                </w:tcPr>
                <w:p w14:paraId="18A247DE">
                  <w:pPr>
                    <w:pStyle w:val="16"/>
                    <w:jc w:val="center"/>
                    <w:rPr>
                      <w:color w:val="auto"/>
                    </w:rPr>
                  </w:pPr>
                  <w:r>
                    <w:rPr>
                      <w:color w:val="auto"/>
                    </w:rPr>
                    <w:t>3.8万</w:t>
                  </w:r>
                </w:p>
              </w:tc>
              <w:tc>
                <w:tcPr>
                  <w:tcW w:w="510" w:type="pct"/>
                  <w:tcBorders>
                    <w:tl2br w:val="nil"/>
                    <w:tr2bl w:val="nil"/>
                  </w:tcBorders>
                  <w:vAlign w:val="center"/>
                </w:tcPr>
                <w:p w14:paraId="24ABD256">
                  <w:pPr>
                    <w:pStyle w:val="16"/>
                    <w:jc w:val="center"/>
                    <w:rPr>
                      <w:color w:val="auto"/>
                    </w:rPr>
                  </w:pPr>
                  <w:r>
                    <w:rPr>
                      <w:color w:val="auto"/>
                    </w:rPr>
                    <w:t>7270</w:t>
                  </w:r>
                </w:p>
              </w:tc>
              <w:tc>
                <w:tcPr>
                  <w:tcW w:w="510" w:type="pct"/>
                  <w:tcBorders>
                    <w:tl2br w:val="nil"/>
                    <w:tr2bl w:val="nil"/>
                  </w:tcBorders>
                  <w:vAlign w:val="center"/>
                </w:tcPr>
                <w:p w14:paraId="6EB0FA0B">
                  <w:pPr>
                    <w:pStyle w:val="16"/>
                    <w:jc w:val="center"/>
                    <w:rPr>
                      <w:color w:val="auto"/>
                    </w:rPr>
                  </w:pPr>
                  <w:r>
                    <w:rPr>
                      <w:color w:val="auto"/>
                    </w:rPr>
                    <w:t>2000</w:t>
                  </w:r>
                </w:p>
              </w:tc>
            </w:tr>
            <w:tr w14:paraId="08FB4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vAlign w:val="center"/>
                </w:tcPr>
                <w:p w14:paraId="2EDCA463">
                  <w:pPr>
                    <w:pStyle w:val="16"/>
                    <w:jc w:val="center"/>
                    <w:rPr>
                      <w:color w:val="auto"/>
                    </w:rPr>
                  </w:pPr>
                  <w:r>
                    <w:rPr>
                      <w:color w:val="auto"/>
                    </w:rPr>
                    <w:t>2</w:t>
                  </w:r>
                </w:p>
              </w:tc>
              <w:tc>
                <w:tcPr>
                  <w:tcW w:w="536" w:type="pct"/>
                  <w:tcBorders>
                    <w:tl2br w:val="nil"/>
                    <w:tr2bl w:val="nil"/>
                  </w:tcBorders>
                  <w:vAlign w:val="center"/>
                </w:tcPr>
                <w:p w14:paraId="619B43BA">
                  <w:pPr>
                    <w:pStyle w:val="16"/>
                    <w:jc w:val="center"/>
                    <w:rPr>
                      <w:color w:val="auto"/>
                    </w:rPr>
                  </w:pPr>
                  <w:r>
                    <w:rPr>
                      <w:rFonts w:hint="eastAsia"/>
                      <w:color w:val="auto"/>
                    </w:rPr>
                    <w:t>澌溪沟水库</w:t>
                  </w:r>
                </w:p>
              </w:tc>
              <w:tc>
                <w:tcPr>
                  <w:tcW w:w="624" w:type="pct"/>
                  <w:tcBorders>
                    <w:tl2br w:val="nil"/>
                    <w:tr2bl w:val="nil"/>
                  </w:tcBorders>
                  <w:vAlign w:val="center"/>
                </w:tcPr>
                <w:p w14:paraId="1C8227A4">
                  <w:pPr>
                    <w:pStyle w:val="16"/>
                    <w:jc w:val="center"/>
                    <w:rPr>
                      <w:color w:val="auto"/>
                    </w:rPr>
                  </w:pPr>
                  <w:r>
                    <w:rPr>
                      <w:color w:val="auto"/>
                    </w:rPr>
                    <w:t>1.65</w:t>
                  </w:r>
                </w:p>
              </w:tc>
              <w:tc>
                <w:tcPr>
                  <w:tcW w:w="477" w:type="pct"/>
                  <w:tcBorders>
                    <w:tl2br w:val="nil"/>
                    <w:tr2bl w:val="nil"/>
                  </w:tcBorders>
                  <w:vAlign w:val="center"/>
                </w:tcPr>
                <w:p w14:paraId="483775BA">
                  <w:pPr>
                    <w:pStyle w:val="16"/>
                    <w:jc w:val="center"/>
                    <w:rPr>
                      <w:color w:val="auto"/>
                    </w:rPr>
                  </w:pPr>
                  <w:r>
                    <w:rPr>
                      <w:color w:val="auto"/>
                    </w:rPr>
                    <w:t>96.14</w:t>
                  </w:r>
                </w:p>
              </w:tc>
              <w:tc>
                <w:tcPr>
                  <w:tcW w:w="477" w:type="pct"/>
                  <w:tcBorders>
                    <w:tl2br w:val="nil"/>
                    <w:tr2bl w:val="nil"/>
                  </w:tcBorders>
                  <w:vAlign w:val="center"/>
                </w:tcPr>
                <w:p w14:paraId="12AC2E6D">
                  <w:pPr>
                    <w:pStyle w:val="16"/>
                    <w:jc w:val="center"/>
                    <w:rPr>
                      <w:color w:val="auto"/>
                    </w:rPr>
                  </w:pPr>
                  <w:r>
                    <w:rPr>
                      <w:color w:val="auto"/>
                    </w:rPr>
                    <w:t>9</w:t>
                  </w:r>
                </w:p>
              </w:tc>
              <w:tc>
                <w:tcPr>
                  <w:tcW w:w="510" w:type="pct"/>
                  <w:tcBorders>
                    <w:tl2br w:val="nil"/>
                    <w:tr2bl w:val="nil"/>
                  </w:tcBorders>
                  <w:vAlign w:val="center"/>
                </w:tcPr>
                <w:p w14:paraId="727DB481">
                  <w:pPr>
                    <w:pStyle w:val="16"/>
                    <w:jc w:val="center"/>
                    <w:rPr>
                      <w:color w:val="auto"/>
                    </w:rPr>
                  </w:pPr>
                  <w:r>
                    <w:rPr>
                      <w:color w:val="auto"/>
                    </w:rPr>
                    <w:t>6300</w:t>
                  </w:r>
                </w:p>
              </w:tc>
              <w:tc>
                <w:tcPr>
                  <w:tcW w:w="480" w:type="pct"/>
                  <w:tcBorders>
                    <w:tl2br w:val="nil"/>
                    <w:tr2bl w:val="nil"/>
                  </w:tcBorders>
                  <w:vAlign w:val="center"/>
                </w:tcPr>
                <w:p w14:paraId="5B82BFCF">
                  <w:pPr>
                    <w:pStyle w:val="16"/>
                    <w:jc w:val="center"/>
                    <w:rPr>
                      <w:color w:val="auto"/>
                    </w:rPr>
                  </w:pPr>
                  <w:r>
                    <w:rPr>
                      <w:rFonts w:hint="eastAsia"/>
                      <w:color w:val="auto"/>
                    </w:rPr>
                    <w:t>2400</w:t>
                  </w:r>
                </w:p>
              </w:tc>
              <w:tc>
                <w:tcPr>
                  <w:tcW w:w="616" w:type="pct"/>
                  <w:tcBorders>
                    <w:tl2br w:val="nil"/>
                    <w:tr2bl w:val="nil"/>
                  </w:tcBorders>
                  <w:vAlign w:val="center"/>
                </w:tcPr>
                <w:p w14:paraId="42054749">
                  <w:pPr>
                    <w:pStyle w:val="16"/>
                    <w:jc w:val="center"/>
                    <w:rPr>
                      <w:color w:val="auto"/>
                    </w:rPr>
                  </w:pPr>
                  <w:r>
                    <w:rPr>
                      <w:rFonts w:hint="eastAsia"/>
                      <w:color w:val="auto"/>
                    </w:rPr>
                    <w:t>/</w:t>
                  </w:r>
                </w:p>
              </w:tc>
              <w:tc>
                <w:tcPr>
                  <w:tcW w:w="510" w:type="pct"/>
                  <w:tcBorders>
                    <w:tl2br w:val="nil"/>
                    <w:tr2bl w:val="nil"/>
                  </w:tcBorders>
                  <w:vAlign w:val="center"/>
                </w:tcPr>
                <w:p w14:paraId="5F8C8240">
                  <w:pPr>
                    <w:pStyle w:val="16"/>
                    <w:jc w:val="center"/>
                    <w:rPr>
                      <w:color w:val="auto"/>
                    </w:rPr>
                  </w:pPr>
                  <w:r>
                    <w:rPr>
                      <w:rFonts w:hint="eastAsia"/>
                      <w:color w:val="auto"/>
                    </w:rPr>
                    <w:t>4000</w:t>
                  </w:r>
                </w:p>
              </w:tc>
              <w:tc>
                <w:tcPr>
                  <w:tcW w:w="510" w:type="pct"/>
                  <w:tcBorders>
                    <w:tl2br w:val="nil"/>
                    <w:tr2bl w:val="nil"/>
                  </w:tcBorders>
                  <w:vAlign w:val="center"/>
                </w:tcPr>
                <w:p w14:paraId="2C6DBD13">
                  <w:pPr>
                    <w:pStyle w:val="16"/>
                    <w:jc w:val="center"/>
                    <w:rPr>
                      <w:color w:val="auto"/>
                    </w:rPr>
                  </w:pPr>
                  <w:r>
                    <w:rPr>
                      <w:rFonts w:hint="eastAsia"/>
                      <w:color w:val="auto"/>
                    </w:rPr>
                    <w:t>/</w:t>
                  </w:r>
                </w:p>
              </w:tc>
            </w:tr>
            <w:tr w14:paraId="44602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5" w:type="pct"/>
                  <w:tcBorders>
                    <w:tl2br w:val="nil"/>
                    <w:tr2bl w:val="nil"/>
                  </w:tcBorders>
                  <w:vAlign w:val="center"/>
                </w:tcPr>
                <w:p w14:paraId="2A6C22B1">
                  <w:pPr>
                    <w:pStyle w:val="16"/>
                    <w:jc w:val="center"/>
                    <w:rPr>
                      <w:color w:val="auto"/>
                    </w:rPr>
                  </w:pPr>
                  <w:r>
                    <w:rPr>
                      <w:color w:val="auto"/>
                    </w:rPr>
                    <w:t>3</w:t>
                  </w:r>
                </w:p>
              </w:tc>
              <w:tc>
                <w:tcPr>
                  <w:tcW w:w="536" w:type="pct"/>
                  <w:tcBorders>
                    <w:tl2br w:val="nil"/>
                    <w:tr2bl w:val="nil"/>
                  </w:tcBorders>
                  <w:vAlign w:val="center"/>
                </w:tcPr>
                <w:p w14:paraId="117BBBB7">
                  <w:pPr>
                    <w:pStyle w:val="16"/>
                    <w:jc w:val="center"/>
                    <w:rPr>
                      <w:color w:val="auto"/>
                    </w:rPr>
                  </w:pPr>
                  <w:r>
                    <w:rPr>
                      <w:rFonts w:hint="eastAsia"/>
                      <w:color w:val="auto"/>
                    </w:rPr>
                    <w:t>王家河水库</w:t>
                  </w:r>
                </w:p>
              </w:tc>
              <w:tc>
                <w:tcPr>
                  <w:tcW w:w="624" w:type="pct"/>
                  <w:tcBorders>
                    <w:tl2br w:val="nil"/>
                    <w:tr2bl w:val="nil"/>
                  </w:tcBorders>
                  <w:vAlign w:val="center"/>
                </w:tcPr>
                <w:p w14:paraId="52DD2609">
                  <w:pPr>
                    <w:pStyle w:val="16"/>
                    <w:jc w:val="center"/>
                    <w:rPr>
                      <w:color w:val="auto"/>
                    </w:rPr>
                  </w:pPr>
                  <w:r>
                    <w:rPr>
                      <w:rFonts w:hint="eastAsia"/>
                      <w:color w:val="auto"/>
                    </w:rPr>
                    <w:t>10.4</w:t>
                  </w:r>
                </w:p>
              </w:tc>
              <w:tc>
                <w:tcPr>
                  <w:tcW w:w="477" w:type="pct"/>
                  <w:tcBorders>
                    <w:tl2br w:val="nil"/>
                    <w:tr2bl w:val="nil"/>
                  </w:tcBorders>
                  <w:vAlign w:val="center"/>
                </w:tcPr>
                <w:p w14:paraId="0908F6D9">
                  <w:pPr>
                    <w:pStyle w:val="16"/>
                    <w:jc w:val="center"/>
                    <w:rPr>
                      <w:color w:val="auto"/>
                    </w:rPr>
                  </w:pPr>
                  <w:r>
                    <w:rPr>
                      <w:rFonts w:hint="eastAsia"/>
                      <w:color w:val="auto"/>
                    </w:rPr>
                    <w:t>31.02</w:t>
                  </w:r>
                </w:p>
              </w:tc>
              <w:tc>
                <w:tcPr>
                  <w:tcW w:w="477" w:type="pct"/>
                  <w:tcBorders>
                    <w:tl2br w:val="nil"/>
                    <w:tr2bl w:val="nil"/>
                  </w:tcBorders>
                  <w:vAlign w:val="center"/>
                </w:tcPr>
                <w:p w14:paraId="37F29290">
                  <w:pPr>
                    <w:pStyle w:val="16"/>
                    <w:jc w:val="center"/>
                    <w:rPr>
                      <w:color w:val="auto"/>
                    </w:rPr>
                  </w:pPr>
                  <w:r>
                    <w:rPr>
                      <w:rFonts w:hint="eastAsia"/>
                      <w:color w:val="auto"/>
                    </w:rPr>
                    <w:t>12.86</w:t>
                  </w:r>
                </w:p>
              </w:tc>
              <w:tc>
                <w:tcPr>
                  <w:tcW w:w="510" w:type="pct"/>
                  <w:tcBorders>
                    <w:tl2br w:val="nil"/>
                    <w:tr2bl w:val="nil"/>
                  </w:tcBorders>
                  <w:vAlign w:val="center"/>
                </w:tcPr>
                <w:p w14:paraId="6FED6CD6">
                  <w:pPr>
                    <w:pStyle w:val="16"/>
                    <w:jc w:val="center"/>
                    <w:rPr>
                      <w:color w:val="auto"/>
                    </w:rPr>
                  </w:pPr>
                  <w:r>
                    <w:rPr>
                      <w:rFonts w:hint="eastAsia"/>
                      <w:color w:val="auto"/>
                    </w:rPr>
                    <w:t>1000</w:t>
                  </w:r>
                </w:p>
              </w:tc>
              <w:tc>
                <w:tcPr>
                  <w:tcW w:w="480" w:type="pct"/>
                  <w:tcBorders>
                    <w:tl2br w:val="nil"/>
                    <w:tr2bl w:val="nil"/>
                  </w:tcBorders>
                  <w:vAlign w:val="center"/>
                </w:tcPr>
                <w:p w14:paraId="0275355F">
                  <w:pPr>
                    <w:pStyle w:val="16"/>
                    <w:jc w:val="center"/>
                    <w:rPr>
                      <w:color w:val="auto"/>
                    </w:rPr>
                  </w:pPr>
                  <w:r>
                    <w:rPr>
                      <w:rFonts w:hint="eastAsia"/>
                      <w:color w:val="auto"/>
                    </w:rPr>
                    <w:t>1000</w:t>
                  </w:r>
                </w:p>
              </w:tc>
              <w:tc>
                <w:tcPr>
                  <w:tcW w:w="616" w:type="pct"/>
                  <w:tcBorders>
                    <w:tl2br w:val="nil"/>
                    <w:tr2bl w:val="nil"/>
                  </w:tcBorders>
                  <w:vAlign w:val="center"/>
                </w:tcPr>
                <w:p w14:paraId="658D3914">
                  <w:pPr>
                    <w:pStyle w:val="16"/>
                    <w:jc w:val="center"/>
                    <w:rPr>
                      <w:color w:val="auto"/>
                    </w:rPr>
                  </w:pPr>
                </w:p>
              </w:tc>
              <w:tc>
                <w:tcPr>
                  <w:tcW w:w="510" w:type="pct"/>
                  <w:tcBorders>
                    <w:tl2br w:val="nil"/>
                    <w:tr2bl w:val="nil"/>
                  </w:tcBorders>
                  <w:vAlign w:val="center"/>
                </w:tcPr>
                <w:p w14:paraId="75D39D9D">
                  <w:pPr>
                    <w:pStyle w:val="16"/>
                    <w:jc w:val="center"/>
                    <w:rPr>
                      <w:color w:val="auto"/>
                    </w:rPr>
                  </w:pPr>
                  <w:r>
                    <w:rPr>
                      <w:rFonts w:hint="eastAsia"/>
                      <w:color w:val="auto"/>
                    </w:rPr>
                    <w:t>0</w:t>
                  </w:r>
                </w:p>
              </w:tc>
              <w:tc>
                <w:tcPr>
                  <w:tcW w:w="510" w:type="pct"/>
                  <w:tcBorders>
                    <w:tl2br w:val="nil"/>
                    <w:tr2bl w:val="nil"/>
                  </w:tcBorders>
                  <w:vAlign w:val="center"/>
                </w:tcPr>
                <w:p w14:paraId="52528FB6">
                  <w:pPr>
                    <w:pStyle w:val="16"/>
                    <w:jc w:val="center"/>
                    <w:rPr>
                      <w:color w:val="auto"/>
                    </w:rPr>
                  </w:pPr>
                  <w:r>
                    <w:rPr>
                      <w:rFonts w:hint="eastAsia"/>
                      <w:color w:val="auto"/>
                    </w:rPr>
                    <w:t>16393</w:t>
                  </w:r>
                </w:p>
              </w:tc>
            </w:tr>
          </w:tbl>
          <w:p w14:paraId="3E2FF1A0">
            <w:pPr>
              <w:pStyle w:val="4"/>
              <w:tabs>
                <w:tab w:val="left" w:pos="0"/>
              </w:tabs>
              <w:ind w:firstLine="482"/>
              <w:rPr>
                <w:color w:val="auto"/>
              </w:rPr>
            </w:pPr>
          </w:p>
          <w:p w14:paraId="552F2A66">
            <w:pPr>
              <w:pStyle w:val="4"/>
              <w:tabs>
                <w:tab w:val="left" w:pos="0"/>
              </w:tabs>
              <w:ind w:firstLine="482"/>
              <w:rPr>
                <w:color w:val="auto"/>
              </w:rPr>
            </w:pPr>
            <w:r>
              <w:rPr>
                <w:rFonts w:hint="eastAsia"/>
                <w:color w:val="auto"/>
              </w:rPr>
              <w:t>（2）工程建设内容</w:t>
            </w:r>
          </w:p>
          <w:p w14:paraId="2C20EEC0">
            <w:pPr>
              <w:ind w:firstLine="480"/>
              <w:rPr>
                <w:color w:val="auto"/>
              </w:rPr>
            </w:pPr>
            <w:bookmarkStart w:id="10" w:name="_Toc203915018"/>
            <w:r>
              <w:rPr>
                <w:rFonts w:hint="eastAsia"/>
                <w:color w:val="auto"/>
              </w:rPr>
              <w:t>本次项目分为3片区，分别为：流里河水库片区、澌溪沟水库片区、王家河水库片区。</w:t>
            </w:r>
          </w:p>
          <w:p w14:paraId="06740063">
            <w:pPr>
              <w:ind w:firstLine="482"/>
              <w:rPr>
                <w:b/>
                <w:bCs/>
                <w:color w:val="auto"/>
              </w:rPr>
            </w:pPr>
            <w:r>
              <w:rPr>
                <w:b/>
                <w:bCs/>
                <w:color w:val="auto"/>
              </w:rPr>
              <w:t>1</w:t>
            </w:r>
            <w:r>
              <w:rPr>
                <w:rFonts w:hint="eastAsia"/>
                <w:b/>
                <w:bCs/>
                <w:color w:val="auto"/>
              </w:rPr>
              <w:t>）流里河片区主要建设内容</w:t>
            </w:r>
          </w:p>
          <w:p w14:paraId="7B50FB63">
            <w:pPr>
              <w:ind w:firstLine="480"/>
              <w:rPr>
                <w:color w:val="auto"/>
              </w:rPr>
            </w:pPr>
            <w:r>
              <w:rPr>
                <w:rFonts w:hint="eastAsia"/>
                <w:color w:val="auto"/>
              </w:rPr>
              <w:t>①取蓄水设施</w:t>
            </w:r>
          </w:p>
          <w:p w14:paraId="0F9629B5">
            <w:pPr>
              <w:ind w:firstLine="480"/>
              <w:rPr>
                <w:color w:val="auto"/>
              </w:rPr>
            </w:pPr>
            <w:r>
              <w:rPr>
                <w:rFonts w:hint="eastAsia"/>
                <w:color w:val="auto"/>
              </w:rPr>
              <w:t>流里河水库库区取水口处新建浮筒取水及加压泵工程1处。为避免破坏大坝结构，本次取水采用浮筒泵站取水，翻越大坝后输水至已建暂存池，浮筒由成品汽油桶制作，水泵固定于浮筒上，岸边设置固定支座，管道采用可曲挠橡胶接头连接，浮筒可随液位变化而相应的上下，保障取水。</w:t>
            </w:r>
          </w:p>
          <w:p w14:paraId="2E9BB425">
            <w:pPr>
              <w:ind w:firstLine="480"/>
              <w:rPr>
                <w:color w:val="auto"/>
              </w:rPr>
            </w:pPr>
            <w:r>
              <w:rPr>
                <w:rFonts w:hint="eastAsia"/>
                <w:color w:val="auto"/>
              </w:rPr>
              <w:t>A取水量：5778m</w:t>
            </w:r>
            <w:r>
              <w:rPr>
                <w:rFonts w:hint="eastAsia"/>
                <w:color w:val="auto"/>
                <w:vertAlign w:val="superscript"/>
              </w:rPr>
              <w:t>3</w:t>
            </w:r>
            <w:r>
              <w:rPr>
                <w:rFonts w:hint="eastAsia"/>
                <w:color w:val="auto"/>
              </w:rPr>
              <w:t>/d，泵站运行时间20h；</w:t>
            </w:r>
          </w:p>
          <w:p w14:paraId="5ECAC0E1">
            <w:pPr>
              <w:ind w:firstLine="480"/>
              <w:rPr>
                <w:color w:val="auto"/>
              </w:rPr>
            </w:pPr>
            <w:r>
              <w:rPr>
                <w:rFonts w:hint="eastAsia"/>
                <w:color w:val="auto"/>
              </w:rPr>
              <w:t>B特征水位：</w:t>
            </w:r>
          </w:p>
          <w:p w14:paraId="0347A813">
            <w:pPr>
              <w:ind w:firstLine="480"/>
              <w:rPr>
                <w:color w:val="auto"/>
              </w:rPr>
            </w:pPr>
            <w:r>
              <w:rPr>
                <w:rFonts w:hint="eastAsia"/>
                <w:color w:val="auto"/>
              </w:rPr>
              <w:t>取水（流里河水库）设计洪水位：631.30m（30年一遇）；正常蓄水位：629.80m；死水位616.80m，大坝控制点高程632.60m。</w:t>
            </w:r>
          </w:p>
          <w:p w14:paraId="6F079487">
            <w:pPr>
              <w:ind w:firstLine="480"/>
              <w:rPr>
                <w:color w:val="auto"/>
              </w:rPr>
            </w:pPr>
            <w:r>
              <w:rPr>
                <w:rFonts w:hint="eastAsia"/>
                <w:color w:val="auto"/>
              </w:rPr>
              <w:t>出水（观山坪现状暂存池）最高水位：576.20m；设计水位576.05m；</w:t>
            </w:r>
          </w:p>
          <w:p w14:paraId="7CD3A133">
            <w:pPr>
              <w:ind w:firstLine="480"/>
              <w:rPr>
                <w:color w:val="auto"/>
              </w:rPr>
            </w:pPr>
            <w:r>
              <w:rPr>
                <w:rFonts w:hint="eastAsia"/>
                <w:color w:val="auto"/>
              </w:rPr>
              <w:t>出水（</w:t>
            </w:r>
            <w:r>
              <w:rPr>
                <w:color w:val="auto"/>
              </w:rPr>
              <w:t>学堂湾</w:t>
            </w:r>
            <w:r>
              <w:rPr>
                <w:rFonts w:hint="eastAsia"/>
                <w:color w:val="auto"/>
              </w:rPr>
              <w:t>现状</w:t>
            </w:r>
            <w:r>
              <w:rPr>
                <w:color w:val="auto"/>
              </w:rPr>
              <w:t>暂存池</w:t>
            </w:r>
            <w:r>
              <w:rPr>
                <w:rFonts w:hint="eastAsia"/>
                <w:color w:val="auto"/>
              </w:rPr>
              <w:t>）最高水位：</w:t>
            </w:r>
            <w:r>
              <w:rPr>
                <w:color w:val="auto"/>
              </w:rPr>
              <w:t>395.11m</w:t>
            </w:r>
            <w:r>
              <w:rPr>
                <w:rFonts w:hint="eastAsia"/>
                <w:color w:val="auto"/>
              </w:rPr>
              <w:t>；设计水位</w:t>
            </w:r>
            <w:r>
              <w:rPr>
                <w:color w:val="auto"/>
              </w:rPr>
              <w:t>394.24m</w:t>
            </w:r>
            <w:r>
              <w:rPr>
                <w:rFonts w:hint="eastAsia"/>
                <w:color w:val="auto"/>
              </w:rPr>
              <w:t>；</w:t>
            </w:r>
          </w:p>
          <w:p w14:paraId="2B3F9821">
            <w:pPr>
              <w:ind w:firstLine="480"/>
              <w:rPr>
                <w:color w:val="auto"/>
              </w:rPr>
            </w:pPr>
            <w:r>
              <w:rPr>
                <w:color w:val="auto"/>
              </w:rPr>
              <w:fldChar w:fldCharType="begin"/>
            </w:r>
            <w:r>
              <w:rPr>
                <w:color w:val="auto"/>
              </w:rPr>
              <w:instrText xml:space="preserve"> </w:instrText>
            </w:r>
            <w:r>
              <w:rPr>
                <w:rFonts w:hint="eastAsia"/>
                <w:color w:val="auto"/>
              </w:rPr>
              <w:instrText xml:space="preserve">= 2 \* GB3</w:instrText>
            </w:r>
            <w:r>
              <w:rPr>
                <w:color w:val="auto"/>
              </w:rPr>
              <w:instrText xml:space="preserve"> </w:instrText>
            </w:r>
            <w:r>
              <w:rPr>
                <w:color w:val="auto"/>
              </w:rPr>
              <w:fldChar w:fldCharType="separate"/>
            </w:r>
            <w:r>
              <w:rPr>
                <w:rFonts w:hint="eastAsia"/>
                <w:color w:val="auto"/>
              </w:rPr>
              <w:t>②</w:t>
            </w:r>
            <w:r>
              <w:rPr>
                <w:color w:val="auto"/>
              </w:rPr>
              <w:fldChar w:fldCharType="end"/>
            </w:r>
            <w:r>
              <w:rPr>
                <w:rFonts w:hint="eastAsia"/>
                <w:color w:val="auto"/>
              </w:rPr>
              <w:t>新建输水主管（流里河水库至观山坪暂存池），采用D300×6螺旋焊接钢管，主管管道长6.45km；新建1#支管（至王显恩），采用DN160PE管，管道长0.34km；新建2#支管（至村委旁堰塘），采用DN160PE管，管道长0.26km；新建3#支管（至王家坝堰塘），采用DN160PE管，管道长0.41km；新建4#支管（至学堂沟暂存池），采用DN160PE管，管道长0.85km；新建5#支管（至白果树湾堰塘），采用DN160PE管，管道长0.78km。新建输水主管（流里河水库取水口至天子坝），采用DN280PE管，主管管道长10.51km；新建1#支管（白土娅至安顺加油站），采用DN200PE管，管道长0.39km；新建2#支管（白土娅至花滩子），采用DN200PE管，管道长1.41km；新建输水管（供水站至李家塝）采用DN280PE管，管道长度0.71km。</w:t>
            </w:r>
          </w:p>
          <w:p w14:paraId="6167F62A">
            <w:pPr>
              <w:ind w:firstLine="482"/>
              <w:rPr>
                <w:b/>
                <w:bCs/>
                <w:color w:val="auto"/>
              </w:rPr>
            </w:pPr>
            <w:r>
              <w:rPr>
                <w:b/>
                <w:bCs/>
                <w:color w:val="auto"/>
              </w:rPr>
              <w:t>2</w:t>
            </w:r>
            <w:r>
              <w:rPr>
                <w:rFonts w:hint="eastAsia"/>
                <w:b/>
                <w:bCs/>
                <w:color w:val="auto"/>
              </w:rPr>
              <w:t>）澌溪沟水库片区主要建设内容</w:t>
            </w:r>
          </w:p>
          <w:p w14:paraId="5BF2E257">
            <w:pPr>
              <w:ind w:firstLine="480"/>
              <w:rPr>
                <w:color w:val="auto"/>
              </w:rPr>
            </w:pPr>
            <w:r>
              <w:rPr>
                <w:rFonts w:hint="eastAsia"/>
                <w:color w:val="auto"/>
              </w:rPr>
              <w:t>①取蓄水设施</w:t>
            </w:r>
          </w:p>
          <w:p w14:paraId="3EA46DB6">
            <w:pPr>
              <w:ind w:firstLine="480"/>
              <w:rPr>
                <w:color w:val="auto"/>
              </w:rPr>
            </w:pPr>
            <w:r>
              <w:rPr>
                <w:color w:val="auto"/>
              </w:rPr>
              <w:t>澌溪沟水库片区</w:t>
            </w:r>
            <w:r>
              <w:rPr>
                <w:rFonts w:hint="eastAsia"/>
                <w:color w:val="auto"/>
              </w:rPr>
              <w:t>取水口处新建浮筒取水及加压泵工程1处，新建白马村200m</w:t>
            </w:r>
            <w:r>
              <w:rPr>
                <w:color w:val="auto"/>
                <w:vertAlign w:val="superscript"/>
              </w:rPr>
              <w:t>3</w:t>
            </w:r>
            <w:r>
              <w:rPr>
                <w:rFonts w:hint="eastAsia"/>
                <w:color w:val="auto"/>
              </w:rPr>
              <w:t>水池1座。为避免破坏大坝结构，本次取水采用浮筒泵站取水，翻越大坝后输水至暂存池，浮筒由成品汽油桶制作，水泵固定于浮筒上，岸边设置固定支座，管道采用可曲挠橡胶接头连接，浮筒可随液位变化而相应的上下，保障取水。</w:t>
            </w:r>
          </w:p>
          <w:p w14:paraId="67D81C80">
            <w:pPr>
              <w:ind w:firstLine="480"/>
              <w:rPr>
                <w:color w:val="auto"/>
              </w:rPr>
            </w:pPr>
            <w:r>
              <w:rPr>
                <w:rFonts w:hint="eastAsia"/>
                <w:color w:val="auto"/>
              </w:rPr>
              <w:t>A取水量：12530m</w:t>
            </w:r>
            <w:r>
              <w:rPr>
                <w:rFonts w:hint="eastAsia"/>
                <w:color w:val="auto"/>
                <w:vertAlign w:val="superscript"/>
              </w:rPr>
              <w:t>3</w:t>
            </w:r>
            <w:r>
              <w:rPr>
                <w:rFonts w:hint="eastAsia"/>
                <w:color w:val="auto"/>
              </w:rPr>
              <w:t>/d，泵站运行时间20h；</w:t>
            </w:r>
          </w:p>
          <w:p w14:paraId="68CA5515">
            <w:pPr>
              <w:ind w:firstLine="480"/>
              <w:rPr>
                <w:color w:val="auto"/>
              </w:rPr>
            </w:pPr>
            <w:r>
              <w:rPr>
                <w:rFonts w:hint="eastAsia"/>
                <w:color w:val="auto"/>
              </w:rPr>
              <w:t>B特征水位：</w:t>
            </w:r>
          </w:p>
          <w:p w14:paraId="352EE6C3">
            <w:pPr>
              <w:ind w:firstLine="480"/>
              <w:rPr>
                <w:color w:val="auto"/>
              </w:rPr>
            </w:pPr>
            <w:r>
              <w:rPr>
                <w:rFonts w:hint="eastAsia"/>
                <w:color w:val="auto"/>
              </w:rPr>
              <w:t>取水（澌溪沟水库）设计洪水位：672.15m（30年一遇）；正常蓄水位：671.36m；死水位660.07m，大坝控制点高程673.14m。</w:t>
            </w:r>
          </w:p>
          <w:p w14:paraId="6357A266">
            <w:pPr>
              <w:ind w:firstLine="480"/>
              <w:rPr>
                <w:color w:val="auto"/>
              </w:rPr>
            </w:pPr>
            <w:r>
              <w:rPr>
                <w:rFonts w:hint="eastAsia"/>
                <w:color w:val="auto"/>
              </w:rPr>
              <w:t>出水（黑溪沟现状蓄水池）最高水位：576.20m；设计水位576.05m；</w:t>
            </w:r>
          </w:p>
          <w:p w14:paraId="6C5B9A8C">
            <w:pPr>
              <w:ind w:firstLine="480"/>
              <w:rPr>
                <w:color w:val="auto"/>
              </w:rPr>
            </w:pPr>
            <w:r>
              <w:rPr>
                <w:rFonts w:hint="eastAsia"/>
                <w:color w:val="auto"/>
              </w:rPr>
              <w:t>②</w:t>
            </w:r>
            <w:r>
              <w:rPr>
                <w:color w:val="auto"/>
              </w:rPr>
              <w:t>新建输水主管（澌溪沟水库取水口至黑溪沟），采用D350×6及D300×6焊接钢管，主管管道长8.7km；新建1#支管（至学堂湾），采用DN160PE管，管道长1.24km；新建2#支管（至郑家湾）采用DN160PE管，管道长2.1km。</w:t>
            </w:r>
          </w:p>
          <w:p w14:paraId="1A36685C">
            <w:pPr>
              <w:ind w:firstLine="482"/>
              <w:rPr>
                <w:b/>
                <w:bCs/>
                <w:color w:val="auto"/>
              </w:rPr>
            </w:pPr>
            <w:r>
              <w:rPr>
                <w:b/>
                <w:bCs/>
                <w:color w:val="auto"/>
              </w:rPr>
              <w:t>3</w:t>
            </w:r>
            <w:r>
              <w:rPr>
                <w:rFonts w:hint="eastAsia"/>
                <w:b/>
                <w:bCs/>
                <w:color w:val="auto"/>
              </w:rPr>
              <w:t>）王家河水库片区主要建设内容</w:t>
            </w:r>
          </w:p>
          <w:p w14:paraId="6925A372">
            <w:pPr>
              <w:ind w:firstLine="480"/>
              <w:rPr>
                <w:color w:val="auto"/>
              </w:rPr>
            </w:pPr>
            <w:r>
              <w:rPr>
                <w:rFonts w:hint="eastAsia"/>
                <w:color w:val="auto"/>
              </w:rPr>
              <w:t>①取蓄水设施</w:t>
            </w:r>
          </w:p>
          <w:p w14:paraId="689C1E4E">
            <w:pPr>
              <w:ind w:firstLine="480"/>
              <w:rPr>
                <w:color w:val="auto"/>
              </w:rPr>
            </w:pPr>
            <w:r>
              <w:rPr>
                <w:color w:val="auto"/>
              </w:rPr>
              <w:t>王家河水库片区</w:t>
            </w:r>
            <w:r>
              <w:rPr>
                <w:rFonts w:hint="eastAsia"/>
                <w:color w:val="auto"/>
              </w:rPr>
              <w:t>取水口处新建浮筒取水及加压泵工程1处，在二级加压泵站旁及麻石场镇入口设置圆形调蓄池，调蓄池设计规模均为500m</w:t>
            </w:r>
            <w:r>
              <w:rPr>
                <w:color w:val="auto"/>
                <w:vertAlign w:val="superscript"/>
              </w:rPr>
              <w:t>3</w:t>
            </w:r>
            <w:r>
              <w:rPr>
                <w:rFonts w:hint="eastAsia"/>
                <w:color w:val="auto"/>
              </w:rPr>
              <w:t>，直径为14.06m，采用钢筋混凝土结构。</w:t>
            </w:r>
          </w:p>
          <w:p w14:paraId="7E9F3DFC">
            <w:pPr>
              <w:ind w:firstLine="480"/>
              <w:rPr>
                <w:color w:val="auto"/>
              </w:rPr>
            </w:pPr>
            <w:r>
              <w:rPr>
                <w:rFonts w:hint="eastAsia"/>
                <w:color w:val="auto"/>
              </w:rPr>
              <w:t>为避免破坏大坝结构，本次取水采用浮筒泵站取水，翻越大坝后输水至暂存池，浮筒由成品汽油桶制作，水泵固定于浮筒上，岸边设置固定支座，管道采用可曲挠橡胶接头连接，浮筒可随液位变化而相应的上下，保障取水。</w:t>
            </w:r>
          </w:p>
          <w:p w14:paraId="6A258A15">
            <w:pPr>
              <w:ind w:firstLine="480"/>
              <w:rPr>
                <w:color w:val="auto"/>
              </w:rPr>
            </w:pPr>
            <w:r>
              <w:rPr>
                <w:rFonts w:hint="eastAsia"/>
                <w:color w:val="auto"/>
              </w:rPr>
              <w:t>A取水量：5250m</w:t>
            </w:r>
            <w:r>
              <w:rPr>
                <w:rFonts w:hint="eastAsia"/>
                <w:color w:val="auto"/>
                <w:vertAlign w:val="superscript"/>
              </w:rPr>
              <w:t>3</w:t>
            </w:r>
            <w:r>
              <w:rPr>
                <w:rFonts w:hint="eastAsia"/>
                <w:color w:val="auto"/>
              </w:rPr>
              <w:t>/d，泵站运行时间20h；</w:t>
            </w:r>
          </w:p>
          <w:p w14:paraId="3D2F35B3">
            <w:pPr>
              <w:ind w:firstLine="480"/>
              <w:rPr>
                <w:color w:val="auto"/>
              </w:rPr>
            </w:pPr>
            <w:r>
              <w:rPr>
                <w:rFonts w:hint="eastAsia"/>
                <w:color w:val="auto"/>
              </w:rPr>
              <w:t>B特征水位：</w:t>
            </w:r>
          </w:p>
          <w:p w14:paraId="572BE759">
            <w:pPr>
              <w:ind w:firstLine="480"/>
              <w:rPr>
                <w:color w:val="auto"/>
              </w:rPr>
            </w:pPr>
            <w:r>
              <w:rPr>
                <w:rFonts w:hint="eastAsia"/>
                <w:color w:val="auto"/>
              </w:rPr>
              <w:t>取水（王家河水库）设计洪水位：603.53m（20年一遇）；正常蓄水位：601.10m；死水位594.50m，大坝控制点高程603.80m。</w:t>
            </w:r>
          </w:p>
          <w:p w14:paraId="7BDDEF71">
            <w:pPr>
              <w:ind w:firstLine="480"/>
              <w:rPr>
                <w:b/>
                <w:bCs/>
                <w:color w:val="auto"/>
              </w:rPr>
            </w:pPr>
            <w:r>
              <w:rPr>
                <w:rFonts w:hint="eastAsia"/>
                <w:color w:val="auto"/>
              </w:rPr>
              <w:t>出水（铁佛水厂现状配水井）最高水位：576.20m；设计水位576.05m；</w:t>
            </w:r>
          </w:p>
          <w:p w14:paraId="344E426D">
            <w:pPr>
              <w:ind w:firstLine="480"/>
              <w:rPr>
                <w:color w:val="auto"/>
              </w:rPr>
            </w:pPr>
            <w:r>
              <w:rPr>
                <w:rFonts w:hint="eastAsia"/>
                <w:color w:val="auto"/>
              </w:rPr>
              <w:t>②新建王家河水库至铁佛水厂输水管道，采用DN350螺旋焊接钢管，管道长8.48km(配套提水设施及管道附属构筑物)。</w:t>
            </w:r>
          </w:p>
          <w:p w14:paraId="3957217F">
            <w:pPr>
              <w:ind w:firstLine="480"/>
              <w:rPr>
                <w:color w:val="auto"/>
              </w:rPr>
            </w:pPr>
            <w:r>
              <w:rPr>
                <w:color w:val="auto"/>
              </w:rPr>
              <w:fldChar w:fldCharType="begin"/>
            </w:r>
            <w:r>
              <w:rPr>
                <w:color w:val="auto"/>
              </w:rPr>
              <w:instrText xml:space="preserve"> </w:instrText>
            </w:r>
            <w:r>
              <w:rPr>
                <w:rFonts w:hint="eastAsia"/>
                <w:color w:val="auto"/>
              </w:rPr>
              <w:instrText xml:space="preserve">= 3 \* GB3</w:instrText>
            </w:r>
            <w:r>
              <w:rPr>
                <w:color w:val="auto"/>
              </w:rPr>
              <w:instrText xml:space="preserve"> </w:instrText>
            </w:r>
            <w:r>
              <w:rPr>
                <w:color w:val="auto"/>
              </w:rPr>
              <w:fldChar w:fldCharType="separate"/>
            </w:r>
            <w:r>
              <w:rPr>
                <w:rFonts w:hint="eastAsia"/>
                <w:color w:val="auto"/>
              </w:rPr>
              <w:t>③</w:t>
            </w:r>
            <w:r>
              <w:rPr>
                <w:color w:val="auto"/>
              </w:rPr>
              <w:fldChar w:fldCharType="end"/>
            </w:r>
            <w:r>
              <w:rPr>
                <w:rFonts w:hint="eastAsia"/>
                <w:color w:val="auto"/>
              </w:rPr>
              <w:t>新建</w:t>
            </w:r>
            <w:r>
              <w:rPr>
                <w:color w:val="auto"/>
              </w:rPr>
              <w:t>铁佛水厂至麻石镇配水主管道共计14.25km（配套加压泵房及管道附属构筑物）</w:t>
            </w:r>
            <w:r>
              <w:rPr>
                <w:rFonts w:hint="eastAsia"/>
                <w:color w:val="auto"/>
              </w:rPr>
              <w:t>，</w:t>
            </w:r>
            <w:r>
              <w:rPr>
                <w:color w:val="auto"/>
              </w:rPr>
              <w:t>其中铁佛水厂拟建一级加压泵站至拟建二级加压泵站主管，采用DN200无缝钢管，管道长5.2km；二级加压泵站至麻石场镇，管道采用DN200无缝钢管，管道长9.05km</w:t>
            </w:r>
            <w:r>
              <w:rPr>
                <w:rFonts w:hint="eastAsia"/>
                <w:color w:val="auto"/>
              </w:rPr>
              <w:t>，使用二氧化氯发生器制备二氧化氯消毒</w:t>
            </w:r>
            <w:r>
              <w:rPr>
                <w:color w:val="auto"/>
              </w:rPr>
              <w:t>。</w:t>
            </w:r>
          </w:p>
          <w:p w14:paraId="7554E5AF">
            <w:pPr>
              <w:ind w:firstLine="480"/>
              <w:rPr>
                <w:color w:val="auto"/>
                <w:vertAlign w:val="superscript"/>
              </w:rPr>
            </w:pPr>
            <w:r>
              <w:rPr>
                <w:color w:val="auto"/>
              </w:rPr>
              <w:fldChar w:fldCharType="begin"/>
            </w:r>
            <w:r>
              <w:rPr>
                <w:color w:val="auto"/>
              </w:rPr>
              <w:instrText xml:space="preserve"> </w:instrText>
            </w:r>
            <w:r>
              <w:rPr>
                <w:rFonts w:hint="eastAsia"/>
                <w:color w:val="auto"/>
              </w:rPr>
              <w:instrText xml:space="preserve">= 4 \* GB3</w:instrText>
            </w:r>
            <w:r>
              <w:rPr>
                <w:color w:val="auto"/>
              </w:rPr>
              <w:instrText xml:space="preserve"> </w:instrText>
            </w:r>
            <w:r>
              <w:rPr>
                <w:color w:val="auto"/>
              </w:rPr>
              <w:fldChar w:fldCharType="separate"/>
            </w:r>
            <w:r>
              <w:rPr>
                <w:rFonts w:hint="eastAsia"/>
                <w:color w:val="auto"/>
              </w:rPr>
              <w:t>④</w:t>
            </w:r>
            <w:r>
              <w:rPr>
                <w:color w:val="auto"/>
              </w:rPr>
              <w:fldChar w:fldCharType="end"/>
            </w:r>
            <w:r>
              <w:rPr>
                <w:rFonts w:hint="eastAsia"/>
                <w:color w:val="auto"/>
              </w:rPr>
              <w:t>配水工程一级加压泵站设置于铁佛水厂内，泵房设计规模为2105m</w:t>
            </w:r>
            <w:r>
              <w:rPr>
                <w:color w:val="auto"/>
                <w:vertAlign w:val="superscript"/>
              </w:rPr>
              <w:t>3</w:t>
            </w:r>
            <w:r>
              <w:rPr>
                <w:rFonts w:hint="eastAsia"/>
                <w:color w:val="auto"/>
              </w:rPr>
              <w:t>/d，1备1用。配水工程二级加压泵站设置于补巴石村四社S201公路旁，泵站设计规模为1930m</w:t>
            </w:r>
            <w:r>
              <w:rPr>
                <w:color w:val="auto"/>
                <w:vertAlign w:val="superscript"/>
              </w:rPr>
              <w:t>3</w:t>
            </w:r>
            <w:r>
              <w:rPr>
                <w:rFonts w:hint="eastAsia"/>
                <w:color w:val="auto"/>
              </w:rPr>
              <w:t>/d，1备1用。</w:t>
            </w:r>
          </w:p>
          <w:p w14:paraId="4F7245F4">
            <w:pPr>
              <w:ind w:firstLine="480"/>
              <w:rPr>
                <w:color w:val="auto"/>
              </w:rPr>
            </w:pPr>
            <w:r>
              <w:rPr>
                <w:rFonts w:hint="eastAsia"/>
                <w:color w:val="auto"/>
                <w:lang w:bidi="ar"/>
              </w:rPr>
              <w:t>综上，本工程</w:t>
            </w:r>
            <w:r>
              <w:rPr>
                <w:color w:val="auto"/>
              </w:rPr>
              <w:t>主要</w:t>
            </w:r>
            <w:r>
              <w:rPr>
                <w:rFonts w:hint="eastAsia"/>
                <w:color w:val="auto"/>
              </w:rPr>
              <w:t>建设内容</w:t>
            </w:r>
            <w:r>
              <w:rPr>
                <w:color w:val="auto"/>
              </w:rPr>
              <w:t>见表</w:t>
            </w:r>
            <w:r>
              <w:rPr>
                <w:rFonts w:hint="eastAsia"/>
                <w:color w:val="auto"/>
              </w:rPr>
              <w:t>2-3</w:t>
            </w:r>
            <w:r>
              <w:rPr>
                <w:color w:val="auto"/>
              </w:rPr>
              <w:t>。</w:t>
            </w:r>
          </w:p>
          <w:p w14:paraId="6DF27E79">
            <w:pPr>
              <w:pStyle w:val="17"/>
              <w:rPr>
                <w:rFonts w:hint="default"/>
                <w:color w:val="auto"/>
              </w:rPr>
            </w:pPr>
            <w:r>
              <w:rPr>
                <w:color w:val="auto"/>
              </w:rPr>
              <w:t>表2-3 工程建设内容表</w:t>
            </w:r>
          </w:p>
          <w:tbl>
            <w:tblPr>
              <w:tblStyle w:val="1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2"/>
              <w:gridCol w:w="1915"/>
              <w:gridCol w:w="1842"/>
              <w:gridCol w:w="2128"/>
              <w:gridCol w:w="1917"/>
            </w:tblGrid>
            <w:tr w14:paraId="0D881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vMerge w:val="restart"/>
                  <w:tcBorders>
                    <w:tl2br w:val="nil"/>
                    <w:tr2bl w:val="nil"/>
                  </w:tcBorders>
                  <w:noWrap/>
                  <w:vAlign w:val="center"/>
                </w:tcPr>
                <w:p w14:paraId="0AEAEA30">
                  <w:pPr>
                    <w:pStyle w:val="16"/>
                    <w:jc w:val="center"/>
                    <w:rPr>
                      <w:color w:val="auto"/>
                    </w:rPr>
                  </w:pPr>
                  <w:r>
                    <w:rPr>
                      <w:rFonts w:hint="eastAsia"/>
                      <w:color w:val="auto"/>
                    </w:rPr>
                    <w:t>序号</w:t>
                  </w:r>
                </w:p>
              </w:tc>
              <w:tc>
                <w:tcPr>
                  <w:tcW w:w="1173" w:type="pct"/>
                  <w:vMerge w:val="restart"/>
                  <w:tcBorders>
                    <w:tl2br w:val="nil"/>
                    <w:tr2bl w:val="nil"/>
                  </w:tcBorders>
                  <w:noWrap/>
                  <w:vAlign w:val="center"/>
                </w:tcPr>
                <w:p w14:paraId="7126DB39">
                  <w:pPr>
                    <w:pStyle w:val="16"/>
                    <w:jc w:val="center"/>
                    <w:rPr>
                      <w:color w:val="auto"/>
                    </w:rPr>
                  </w:pPr>
                  <w:r>
                    <w:rPr>
                      <w:rFonts w:hint="eastAsia"/>
                      <w:color w:val="auto"/>
                    </w:rPr>
                    <w:t>项目名称</w:t>
                  </w:r>
                </w:p>
              </w:tc>
              <w:tc>
                <w:tcPr>
                  <w:tcW w:w="3605" w:type="pct"/>
                  <w:gridSpan w:val="3"/>
                  <w:tcBorders>
                    <w:tl2br w:val="nil"/>
                    <w:tr2bl w:val="nil"/>
                  </w:tcBorders>
                  <w:noWrap/>
                  <w:vAlign w:val="center"/>
                </w:tcPr>
                <w:p w14:paraId="1205B508">
                  <w:pPr>
                    <w:pStyle w:val="16"/>
                    <w:jc w:val="center"/>
                    <w:rPr>
                      <w:color w:val="auto"/>
                    </w:rPr>
                  </w:pPr>
                  <w:r>
                    <w:rPr>
                      <w:rFonts w:hint="eastAsia"/>
                      <w:color w:val="auto"/>
                    </w:rPr>
                    <w:t>建设内容</w:t>
                  </w:r>
                </w:p>
              </w:tc>
            </w:tr>
            <w:tr w14:paraId="74098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vMerge w:val="continue"/>
                  <w:tcBorders>
                    <w:tl2br w:val="nil"/>
                    <w:tr2bl w:val="nil"/>
                  </w:tcBorders>
                  <w:vAlign w:val="center"/>
                </w:tcPr>
                <w:p w14:paraId="38B96E5B">
                  <w:pPr>
                    <w:pStyle w:val="16"/>
                    <w:jc w:val="center"/>
                    <w:rPr>
                      <w:color w:val="auto"/>
                    </w:rPr>
                  </w:pPr>
                </w:p>
              </w:tc>
              <w:tc>
                <w:tcPr>
                  <w:tcW w:w="1173" w:type="pct"/>
                  <w:vMerge w:val="continue"/>
                  <w:tcBorders>
                    <w:tl2br w:val="nil"/>
                    <w:tr2bl w:val="nil"/>
                  </w:tcBorders>
                  <w:vAlign w:val="center"/>
                </w:tcPr>
                <w:p w14:paraId="3CCB6FD3">
                  <w:pPr>
                    <w:pStyle w:val="16"/>
                    <w:rPr>
                      <w:color w:val="auto"/>
                    </w:rPr>
                  </w:pPr>
                </w:p>
              </w:tc>
              <w:tc>
                <w:tcPr>
                  <w:tcW w:w="1128" w:type="pct"/>
                  <w:tcBorders>
                    <w:tl2br w:val="nil"/>
                    <w:tr2bl w:val="nil"/>
                  </w:tcBorders>
                  <w:noWrap/>
                  <w:vAlign w:val="center"/>
                </w:tcPr>
                <w:p w14:paraId="638DD887">
                  <w:pPr>
                    <w:pStyle w:val="16"/>
                    <w:jc w:val="center"/>
                    <w:rPr>
                      <w:color w:val="auto"/>
                    </w:rPr>
                  </w:pPr>
                  <w:r>
                    <w:rPr>
                      <w:rFonts w:hint="eastAsia"/>
                      <w:color w:val="auto"/>
                    </w:rPr>
                    <w:t>新建泵站（座）</w:t>
                  </w:r>
                </w:p>
              </w:tc>
              <w:tc>
                <w:tcPr>
                  <w:tcW w:w="1303" w:type="pct"/>
                  <w:tcBorders>
                    <w:tl2br w:val="nil"/>
                    <w:tr2bl w:val="nil"/>
                  </w:tcBorders>
                  <w:noWrap/>
                  <w:vAlign w:val="center"/>
                </w:tcPr>
                <w:p w14:paraId="6DA52857">
                  <w:pPr>
                    <w:pStyle w:val="16"/>
                    <w:jc w:val="center"/>
                    <w:rPr>
                      <w:color w:val="auto"/>
                    </w:rPr>
                  </w:pPr>
                  <w:r>
                    <w:rPr>
                      <w:rFonts w:hint="eastAsia"/>
                      <w:color w:val="auto"/>
                    </w:rPr>
                    <w:t>蓄水池/暂存池（口）</w:t>
                  </w:r>
                </w:p>
              </w:tc>
              <w:tc>
                <w:tcPr>
                  <w:tcW w:w="1174" w:type="pct"/>
                  <w:tcBorders>
                    <w:tl2br w:val="nil"/>
                    <w:tr2bl w:val="nil"/>
                  </w:tcBorders>
                  <w:vAlign w:val="center"/>
                </w:tcPr>
                <w:p w14:paraId="666857C8">
                  <w:pPr>
                    <w:pStyle w:val="16"/>
                    <w:jc w:val="center"/>
                    <w:rPr>
                      <w:color w:val="auto"/>
                    </w:rPr>
                  </w:pPr>
                  <w:r>
                    <w:rPr>
                      <w:rFonts w:hint="eastAsia"/>
                      <w:color w:val="auto"/>
                    </w:rPr>
                    <w:t>输水线路（m）</w:t>
                  </w:r>
                </w:p>
              </w:tc>
            </w:tr>
            <w:tr w14:paraId="362AD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tcBorders>
                    <w:tl2br w:val="nil"/>
                    <w:tr2bl w:val="nil"/>
                  </w:tcBorders>
                  <w:noWrap/>
                  <w:vAlign w:val="center"/>
                </w:tcPr>
                <w:p w14:paraId="2C3D1A31">
                  <w:pPr>
                    <w:pStyle w:val="16"/>
                    <w:jc w:val="center"/>
                    <w:rPr>
                      <w:color w:val="auto"/>
                    </w:rPr>
                  </w:pPr>
                  <w:r>
                    <w:rPr>
                      <w:rFonts w:hint="eastAsia"/>
                      <w:color w:val="auto"/>
                    </w:rPr>
                    <w:t>1</w:t>
                  </w:r>
                </w:p>
              </w:tc>
              <w:tc>
                <w:tcPr>
                  <w:tcW w:w="1173" w:type="pct"/>
                  <w:tcBorders>
                    <w:tl2br w:val="nil"/>
                    <w:tr2bl w:val="nil"/>
                  </w:tcBorders>
                  <w:noWrap/>
                  <w:vAlign w:val="center"/>
                </w:tcPr>
                <w:p w14:paraId="3F229627">
                  <w:pPr>
                    <w:pStyle w:val="16"/>
                    <w:jc w:val="center"/>
                    <w:rPr>
                      <w:color w:val="auto"/>
                    </w:rPr>
                  </w:pPr>
                  <w:r>
                    <w:rPr>
                      <w:rFonts w:hint="eastAsia"/>
                      <w:color w:val="auto"/>
                    </w:rPr>
                    <w:t>流里河水库片区</w:t>
                  </w:r>
                </w:p>
              </w:tc>
              <w:tc>
                <w:tcPr>
                  <w:tcW w:w="1128" w:type="pct"/>
                  <w:tcBorders>
                    <w:tl2br w:val="nil"/>
                    <w:tr2bl w:val="nil"/>
                  </w:tcBorders>
                  <w:noWrap/>
                  <w:vAlign w:val="center"/>
                </w:tcPr>
                <w:p w14:paraId="2CE73388">
                  <w:pPr>
                    <w:pStyle w:val="16"/>
                    <w:jc w:val="center"/>
                    <w:rPr>
                      <w:color w:val="auto"/>
                    </w:rPr>
                  </w:pPr>
                  <w:r>
                    <w:rPr>
                      <w:rFonts w:hint="eastAsia"/>
                      <w:color w:val="auto"/>
                    </w:rPr>
                    <w:t>1</w:t>
                  </w:r>
                </w:p>
              </w:tc>
              <w:tc>
                <w:tcPr>
                  <w:tcW w:w="1303" w:type="pct"/>
                  <w:tcBorders>
                    <w:tl2br w:val="nil"/>
                    <w:tr2bl w:val="nil"/>
                  </w:tcBorders>
                  <w:noWrap/>
                  <w:vAlign w:val="center"/>
                </w:tcPr>
                <w:p w14:paraId="18DB752C">
                  <w:pPr>
                    <w:pStyle w:val="16"/>
                    <w:jc w:val="center"/>
                    <w:rPr>
                      <w:color w:val="auto"/>
                    </w:rPr>
                  </w:pPr>
                  <w:r>
                    <w:rPr>
                      <w:rFonts w:hint="eastAsia"/>
                      <w:color w:val="auto"/>
                    </w:rPr>
                    <w:t>/</w:t>
                  </w:r>
                </w:p>
              </w:tc>
              <w:tc>
                <w:tcPr>
                  <w:tcW w:w="1174" w:type="pct"/>
                  <w:tcBorders>
                    <w:tl2br w:val="nil"/>
                    <w:tr2bl w:val="nil"/>
                  </w:tcBorders>
                  <w:vAlign w:val="center"/>
                </w:tcPr>
                <w:p w14:paraId="312C0E57">
                  <w:pPr>
                    <w:pStyle w:val="16"/>
                    <w:jc w:val="center"/>
                    <w:rPr>
                      <w:color w:val="auto"/>
                    </w:rPr>
                  </w:pPr>
                  <w:r>
                    <w:rPr>
                      <w:rFonts w:hint="eastAsia"/>
                      <w:color w:val="auto"/>
                    </w:rPr>
                    <w:t>21199</w:t>
                  </w:r>
                </w:p>
              </w:tc>
            </w:tr>
            <w:tr w14:paraId="49134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tcBorders>
                    <w:tl2br w:val="nil"/>
                    <w:tr2bl w:val="nil"/>
                  </w:tcBorders>
                  <w:noWrap/>
                  <w:vAlign w:val="center"/>
                </w:tcPr>
                <w:p w14:paraId="24C72776">
                  <w:pPr>
                    <w:pStyle w:val="16"/>
                    <w:jc w:val="center"/>
                    <w:rPr>
                      <w:color w:val="auto"/>
                    </w:rPr>
                  </w:pPr>
                  <w:r>
                    <w:rPr>
                      <w:rFonts w:hint="eastAsia"/>
                      <w:color w:val="auto"/>
                    </w:rPr>
                    <w:t>2</w:t>
                  </w:r>
                </w:p>
              </w:tc>
              <w:tc>
                <w:tcPr>
                  <w:tcW w:w="1173" w:type="pct"/>
                  <w:tcBorders>
                    <w:tl2br w:val="nil"/>
                    <w:tr2bl w:val="nil"/>
                  </w:tcBorders>
                  <w:noWrap/>
                  <w:vAlign w:val="center"/>
                </w:tcPr>
                <w:p w14:paraId="07419FB4">
                  <w:pPr>
                    <w:pStyle w:val="16"/>
                    <w:jc w:val="center"/>
                    <w:rPr>
                      <w:color w:val="auto"/>
                    </w:rPr>
                  </w:pPr>
                  <w:r>
                    <w:rPr>
                      <w:rFonts w:hint="eastAsia"/>
                      <w:color w:val="auto"/>
                    </w:rPr>
                    <w:t>澌溪沟水库片区</w:t>
                  </w:r>
                </w:p>
              </w:tc>
              <w:tc>
                <w:tcPr>
                  <w:tcW w:w="1128" w:type="pct"/>
                  <w:tcBorders>
                    <w:tl2br w:val="nil"/>
                    <w:tr2bl w:val="nil"/>
                  </w:tcBorders>
                  <w:noWrap/>
                  <w:vAlign w:val="center"/>
                </w:tcPr>
                <w:p w14:paraId="7B987AF4">
                  <w:pPr>
                    <w:pStyle w:val="16"/>
                    <w:jc w:val="center"/>
                    <w:rPr>
                      <w:color w:val="auto"/>
                    </w:rPr>
                  </w:pPr>
                  <w:r>
                    <w:rPr>
                      <w:rFonts w:hint="eastAsia"/>
                      <w:color w:val="auto"/>
                    </w:rPr>
                    <w:t>1</w:t>
                  </w:r>
                </w:p>
              </w:tc>
              <w:tc>
                <w:tcPr>
                  <w:tcW w:w="1303" w:type="pct"/>
                  <w:tcBorders>
                    <w:tl2br w:val="nil"/>
                    <w:tr2bl w:val="nil"/>
                  </w:tcBorders>
                  <w:noWrap/>
                  <w:vAlign w:val="center"/>
                </w:tcPr>
                <w:p w14:paraId="5BAAF8AF">
                  <w:pPr>
                    <w:pStyle w:val="16"/>
                    <w:jc w:val="center"/>
                    <w:rPr>
                      <w:color w:val="auto"/>
                    </w:rPr>
                  </w:pPr>
                  <w:r>
                    <w:rPr>
                      <w:rFonts w:hint="eastAsia"/>
                      <w:color w:val="auto"/>
                    </w:rPr>
                    <w:t>1</w:t>
                  </w:r>
                </w:p>
              </w:tc>
              <w:tc>
                <w:tcPr>
                  <w:tcW w:w="1174" w:type="pct"/>
                  <w:tcBorders>
                    <w:tl2br w:val="nil"/>
                    <w:tr2bl w:val="nil"/>
                  </w:tcBorders>
                  <w:vAlign w:val="center"/>
                </w:tcPr>
                <w:p w14:paraId="5D63F042">
                  <w:pPr>
                    <w:pStyle w:val="16"/>
                    <w:jc w:val="center"/>
                    <w:rPr>
                      <w:color w:val="auto"/>
                    </w:rPr>
                  </w:pPr>
                  <w:r>
                    <w:rPr>
                      <w:rFonts w:hint="eastAsia"/>
                      <w:color w:val="auto"/>
                    </w:rPr>
                    <w:t>12047</w:t>
                  </w:r>
                </w:p>
              </w:tc>
            </w:tr>
            <w:tr w14:paraId="58FE3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tcBorders>
                    <w:tl2br w:val="nil"/>
                    <w:tr2bl w:val="nil"/>
                  </w:tcBorders>
                  <w:noWrap/>
                  <w:vAlign w:val="center"/>
                </w:tcPr>
                <w:p w14:paraId="4F466827">
                  <w:pPr>
                    <w:pStyle w:val="16"/>
                    <w:jc w:val="center"/>
                    <w:rPr>
                      <w:color w:val="auto"/>
                    </w:rPr>
                  </w:pPr>
                  <w:r>
                    <w:rPr>
                      <w:rFonts w:hint="eastAsia"/>
                      <w:color w:val="auto"/>
                    </w:rPr>
                    <w:t>3</w:t>
                  </w:r>
                </w:p>
              </w:tc>
              <w:tc>
                <w:tcPr>
                  <w:tcW w:w="1173" w:type="pct"/>
                  <w:tcBorders>
                    <w:tl2br w:val="nil"/>
                    <w:tr2bl w:val="nil"/>
                  </w:tcBorders>
                  <w:noWrap/>
                  <w:vAlign w:val="center"/>
                </w:tcPr>
                <w:p w14:paraId="5B1670CA">
                  <w:pPr>
                    <w:pStyle w:val="16"/>
                    <w:jc w:val="center"/>
                    <w:rPr>
                      <w:color w:val="auto"/>
                    </w:rPr>
                  </w:pPr>
                  <w:r>
                    <w:rPr>
                      <w:rFonts w:hint="eastAsia"/>
                      <w:color w:val="auto"/>
                    </w:rPr>
                    <w:t>王家河水库片区</w:t>
                  </w:r>
                </w:p>
              </w:tc>
              <w:tc>
                <w:tcPr>
                  <w:tcW w:w="1128" w:type="pct"/>
                  <w:tcBorders>
                    <w:tl2br w:val="nil"/>
                    <w:tr2bl w:val="nil"/>
                  </w:tcBorders>
                  <w:noWrap/>
                  <w:vAlign w:val="center"/>
                </w:tcPr>
                <w:p w14:paraId="06F1E04F">
                  <w:pPr>
                    <w:pStyle w:val="16"/>
                    <w:jc w:val="center"/>
                    <w:rPr>
                      <w:color w:val="auto"/>
                    </w:rPr>
                  </w:pPr>
                  <w:r>
                    <w:rPr>
                      <w:rFonts w:hint="eastAsia"/>
                      <w:color w:val="auto"/>
                    </w:rPr>
                    <w:t>3</w:t>
                  </w:r>
                </w:p>
              </w:tc>
              <w:tc>
                <w:tcPr>
                  <w:tcW w:w="1303" w:type="pct"/>
                  <w:tcBorders>
                    <w:tl2br w:val="nil"/>
                    <w:tr2bl w:val="nil"/>
                  </w:tcBorders>
                  <w:noWrap/>
                  <w:vAlign w:val="center"/>
                </w:tcPr>
                <w:p w14:paraId="4ABD3DF2">
                  <w:pPr>
                    <w:pStyle w:val="16"/>
                    <w:jc w:val="center"/>
                    <w:rPr>
                      <w:color w:val="auto"/>
                    </w:rPr>
                  </w:pPr>
                  <w:r>
                    <w:rPr>
                      <w:rFonts w:hint="eastAsia"/>
                      <w:color w:val="auto"/>
                    </w:rPr>
                    <w:t>1</w:t>
                  </w:r>
                </w:p>
              </w:tc>
              <w:tc>
                <w:tcPr>
                  <w:tcW w:w="1174" w:type="pct"/>
                  <w:tcBorders>
                    <w:tl2br w:val="nil"/>
                    <w:tr2bl w:val="nil"/>
                  </w:tcBorders>
                  <w:vAlign w:val="center"/>
                </w:tcPr>
                <w:p w14:paraId="026E6234">
                  <w:pPr>
                    <w:pStyle w:val="16"/>
                    <w:jc w:val="center"/>
                    <w:rPr>
                      <w:color w:val="auto"/>
                    </w:rPr>
                  </w:pPr>
                  <w:r>
                    <w:rPr>
                      <w:rFonts w:hint="eastAsia"/>
                      <w:color w:val="auto"/>
                    </w:rPr>
                    <w:t>22730</w:t>
                  </w:r>
                </w:p>
              </w:tc>
            </w:tr>
            <w:tr w14:paraId="39C06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 w:type="pct"/>
                  <w:tcBorders>
                    <w:tl2br w:val="nil"/>
                    <w:tr2bl w:val="nil"/>
                  </w:tcBorders>
                  <w:noWrap/>
                  <w:vAlign w:val="center"/>
                </w:tcPr>
                <w:p w14:paraId="581D31C6">
                  <w:pPr>
                    <w:pStyle w:val="16"/>
                    <w:jc w:val="center"/>
                    <w:rPr>
                      <w:color w:val="auto"/>
                    </w:rPr>
                  </w:pPr>
                  <w:r>
                    <w:rPr>
                      <w:rFonts w:hint="eastAsia"/>
                      <w:color w:val="auto"/>
                    </w:rPr>
                    <w:t>4</w:t>
                  </w:r>
                </w:p>
              </w:tc>
              <w:tc>
                <w:tcPr>
                  <w:tcW w:w="1173" w:type="pct"/>
                  <w:tcBorders>
                    <w:tl2br w:val="nil"/>
                    <w:tr2bl w:val="nil"/>
                  </w:tcBorders>
                  <w:noWrap/>
                  <w:vAlign w:val="center"/>
                </w:tcPr>
                <w:p w14:paraId="730B6A25">
                  <w:pPr>
                    <w:pStyle w:val="16"/>
                    <w:jc w:val="center"/>
                    <w:rPr>
                      <w:color w:val="auto"/>
                    </w:rPr>
                  </w:pPr>
                  <w:r>
                    <w:rPr>
                      <w:rFonts w:hint="eastAsia"/>
                      <w:color w:val="auto"/>
                    </w:rPr>
                    <w:t>合计</w:t>
                  </w:r>
                </w:p>
              </w:tc>
              <w:tc>
                <w:tcPr>
                  <w:tcW w:w="1128" w:type="pct"/>
                  <w:tcBorders>
                    <w:tl2br w:val="nil"/>
                    <w:tr2bl w:val="nil"/>
                  </w:tcBorders>
                  <w:noWrap/>
                  <w:vAlign w:val="center"/>
                </w:tcPr>
                <w:p w14:paraId="17F3F8E4">
                  <w:pPr>
                    <w:pStyle w:val="16"/>
                    <w:jc w:val="center"/>
                    <w:rPr>
                      <w:color w:val="auto"/>
                    </w:rPr>
                  </w:pPr>
                  <w:r>
                    <w:rPr>
                      <w:rFonts w:hint="eastAsia"/>
                      <w:color w:val="auto"/>
                    </w:rPr>
                    <w:t>5</w:t>
                  </w:r>
                </w:p>
              </w:tc>
              <w:tc>
                <w:tcPr>
                  <w:tcW w:w="1303" w:type="pct"/>
                  <w:tcBorders>
                    <w:tl2br w:val="nil"/>
                    <w:tr2bl w:val="nil"/>
                  </w:tcBorders>
                  <w:noWrap/>
                  <w:vAlign w:val="center"/>
                </w:tcPr>
                <w:p w14:paraId="3E937370">
                  <w:pPr>
                    <w:pStyle w:val="16"/>
                    <w:jc w:val="center"/>
                    <w:rPr>
                      <w:color w:val="auto"/>
                    </w:rPr>
                  </w:pPr>
                  <w:r>
                    <w:rPr>
                      <w:rFonts w:hint="eastAsia"/>
                      <w:color w:val="auto"/>
                    </w:rPr>
                    <w:t>2</w:t>
                  </w:r>
                </w:p>
              </w:tc>
              <w:tc>
                <w:tcPr>
                  <w:tcW w:w="1174" w:type="pct"/>
                  <w:tcBorders>
                    <w:tl2br w:val="nil"/>
                    <w:tr2bl w:val="nil"/>
                  </w:tcBorders>
                  <w:vAlign w:val="center"/>
                </w:tcPr>
                <w:p w14:paraId="2F29E551">
                  <w:pPr>
                    <w:pStyle w:val="16"/>
                    <w:jc w:val="center"/>
                    <w:rPr>
                      <w:color w:val="auto"/>
                    </w:rPr>
                  </w:pPr>
                  <w:r>
                    <w:rPr>
                      <w:color w:val="auto"/>
                    </w:rPr>
                    <w:t>55976</w:t>
                  </w:r>
                </w:p>
              </w:tc>
            </w:tr>
            <w:bookmarkEnd w:id="10"/>
          </w:tbl>
          <w:p w14:paraId="6FF926F5">
            <w:pPr>
              <w:ind w:firstLine="480"/>
              <w:rPr>
                <w:color w:val="auto"/>
              </w:rPr>
            </w:pPr>
          </w:p>
        </w:tc>
      </w:tr>
      <w:tr w14:paraId="6F986D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Align w:val="center"/>
          </w:tcPr>
          <w:p w14:paraId="116E65DA">
            <w:pPr>
              <w:adjustRightInd w:val="0"/>
              <w:snapToGrid w:val="0"/>
              <w:ind w:firstLine="0" w:firstLineChars="0"/>
              <w:rPr>
                <w:color w:val="auto"/>
                <w:kern w:val="0"/>
              </w:rPr>
            </w:pPr>
            <w:r>
              <w:rPr>
                <w:color w:val="auto"/>
                <w:kern w:val="0"/>
              </w:rPr>
              <w:t>总平面及现场布置</w:t>
            </w:r>
          </w:p>
        </w:tc>
        <w:tc>
          <w:tcPr>
            <w:tcW w:w="8380" w:type="dxa"/>
            <w:vAlign w:val="center"/>
          </w:tcPr>
          <w:p w14:paraId="53460F72">
            <w:pPr>
              <w:ind w:firstLine="482"/>
              <w:rPr>
                <w:b/>
                <w:bCs/>
                <w:color w:val="auto"/>
              </w:rPr>
            </w:pPr>
            <w:r>
              <w:rPr>
                <w:rFonts w:hint="eastAsia"/>
                <w:b/>
                <w:bCs/>
                <w:color w:val="auto"/>
              </w:rPr>
              <w:t>一、</w:t>
            </w:r>
            <w:r>
              <w:rPr>
                <w:b/>
                <w:bCs/>
                <w:color w:val="auto"/>
              </w:rPr>
              <w:t>工程布置及建筑物</w:t>
            </w:r>
          </w:p>
          <w:p w14:paraId="41CB6B8B">
            <w:pPr>
              <w:ind w:firstLine="482"/>
              <w:rPr>
                <w:b/>
                <w:bCs/>
                <w:color w:val="auto"/>
              </w:rPr>
            </w:pPr>
            <w:r>
              <w:rPr>
                <w:rFonts w:hint="eastAsia"/>
                <w:b/>
                <w:bCs/>
                <w:color w:val="auto"/>
              </w:rPr>
              <w:t>1、</w:t>
            </w:r>
            <w:r>
              <w:rPr>
                <w:b/>
                <w:bCs/>
                <w:color w:val="auto"/>
              </w:rPr>
              <w:t>工程等别</w:t>
            </w:r>
          </w:p>
          <w:p w14:paraId="33E99940">
            <w:pPr>
              <w:ind w:firstLine="480"/>
              <w:rPr>
                <w:color w:val="auto"/>
              </w:rPr>
            </w:pPr>
            <w:r>
              <w:rPr>
                <w:color w:val="auto"/>
              </w:rPr>
              <w:t>本工程建设任务为村镇供水和灌溉用水，村镇灌溉及人饮供水设计年供水量66.91万m³，小于3000万m³，供水对象重要性为一般；灌溉面积1.127万亩小于5万亩大于0.5万亩，根据《水利水电工程等级划分及洪水标准》（SL252-2017），按照灌溉面积确定工程等别为Ⅳ等，工程规模为小（1）型。</w:t>
            </w:r>
          </w:p>
          <w:p w14:paraId="23A8F95A">
            <w:pPr>
              <w:ind w:firstLine="482"/>
              <w:rPr>
                <w:b/>
                <w:bCs/>
                <w:color w:val="auto"/>
              </w:rPr>
            </w:pPr>
            <w:r>
              <w:rPr>
                <w:rFonts w:hint="eastAsia"/>
                <w:b/>
                <w:bCs/>
                <w:color w:val="auto"/>
              </w:rPr>
              <w:t>2、</w:t>
            </w:r>
            <w:r>
              <w:rPr>
                <w:b/>
                <w:bCs/>
                <w:color w:val="auto"/>
              </w:rPr>
              <w:t>建筑物级别</w:t>
            </w:r>
          </w:p>
          <w:p w14:paraId="2472C804">
            <w:pPr>
              <w:ind w:firstLine="480"/>
              <w:rPr>
                <w:color w:val="auto"/>
              </w:rPr>
            </w:pPr>
            <w:r>
              <w:rPr>
                <w:color w:val="auto"/>
              </w:rPr>
              <w:t>输水工程中永久性水工建筑物按其作用和失事后的影响程度，分为主要建筑物和次要建筑物，本项目主要建筑物有压力输水管和集水池，以及保证输水管线安全运行的镇支墩等；次要建筑物主要为输水线路沿线的其它附属建筑物。本项目为供水与灌溉工程，建筑物级别按照《水利水电工程等级划分及洪水标准》（SL252-2017）中表4.6.1及4.7.1确定，通江县铁佛镇移民安置区饮水管网及灌溉水利设施建设工程主要建筑物为5级，次要建筑物为5级。</w:t>
            </w:r>
          </w:p>
          <w:p w14:paraId="626FFE85">
            <w:pPr>
              <w:ind w:firstLine="480"/>
              <w:rPr>
                <w:color w:val="auto"/>
              </w:rPr>
            </w:pPr>
            <w:r>
              <w:rPr>
                <w:color w:val="auto"/>
              </w:rPr>
              <w:t>提水工程中永久性水工建筑物按其作用和失事后的影响程度，分为主要建筑物和次要建筑物，主要建筑物有泵站、进出水管道、进出口水池和保证工程安全运行的镇支墩等；次要建筑物为提水工程的附属建筑物。建筑物级别按照《水利水电工程等级划分及洪水标准》（SL252-2017）中表4.7.1及4.7.2确定，通江县铁佛镇移民安置区饮水管网及灌溉水利设施建设工程主要建筑物为5级，次要建筑物为5级</w:t>
            </w:r>
          </w:p>
          <w:p w14:paraId="7D840F93">
            <w:pPr>
              <w:ind w:firstLine="482"/>
              <w:rPr>
                <w:b/>
                <w:bCs/>
                <w:color w:val="auto"/>
              </w:rPr>
            </w:pPr>
            <w:r>
              <w:rPr>
                <w:rFonts w:hint="eastAsia"/>
                <w:b/>
                <w:bCs/>
                <w:color w:val="auto"/>
              </w:rPr>
              <w:t>3、</w:t>
            </w:r>
            <w:r>
              <w:rPr>
                <w:b/>
                <w:bCs/>
                <w:color w:val="auto"/>
              </w:rPr>
              <w:t>防洪标准</w:t>
            </w:r>
          </w:p>
          <w:p w14:paraId="4E5683BF">
            <w:pPr>
              <w:ind w:firstLine="480"/>
              <w:rPr>
                <w:color w:val="auto"/>
              </w:rPr>
            </w:pPr>
            <w:r>
              <w:rPr>
                <w:color w:val="auto"/>
              </w:rPr>
              <w:t>本工程洪水标准按照《水利水电工程等级划分及洪水标准》（SL252-2017）确定，永久性水工建筑物级别均为5级，设计洪水标准为10年一遇，校核洪水标准为30一遇。</w:t>
            </w:r>
          </w:p>
          <w:p w14:paraId="68090E47">
            <w:pPr>
              <w:ind w:firstLine="480"/>
              <w:rPr>
                <w:color w:val="auto"/>
              </w:rPr>
            </w:pPr>
            <w:r>
              <w:rPr>
                <w:color w:val="auto"/>
              </w:rPr>
              <w:t>本工程临时性水工建筑物级别均为5级，洪水标准均为5年一遇。</w:t>
            </w:r>
          </w:p>
          <w:p w14:paraId="3E75961B">
            <w:pPr>
              <w:ind w:firstLine="482"/>
              <w:rPr>
                <w:b/>
                <w:bCs/>
                <w:color w:val="auto"/>
              </w:rPr>
            </w:pPr>
            <w:r>
              <w:rPr>
                <w:rFonts w:hint="eastAsia"/>
                <w:b/>
                <w:bCs/>
                <w:color w:val="auto"/>
              </w:rPr>
              <w:t>4、</w:t>
            </w:r>
            <w:r>
              <w:rPr>
                <w:b/>
                <w:bCs/>
                <w:color w:val="auto"/>
              </w:rPr>
              <w:t>工程总布置</w:t>
            </w:r>
          </w:p>
          <w:p w14:paraId="400C5B42">
            <w:pPr>
              <w:ind w:firstLine="480"/>
              <w:rPr>
                <w:color w:val="auto"/>
              </w:rPr>
            </w:pPr>
            <w:r>
              <w:rPr>
                <w:rFonts w:hint="eastAsia"/>
                <w:color w:val="auto"/>
              </w:rPr>
              <w:t>（1）</w:t>
            </w:r>
            <w:r>
              <w:rPr>
                <w:color w:val="auto"/>
              </w:rPr>
              <w:t>工程布置原则</w:t>
            </w:r>
          </w:p>
          <w:p w14:paraId="3515B776">
            <w:pPr>
              <w:ind w:firstLine="480"/>
              <w:rPr>
                <w:color w:val="auto"/>
              </w:rPr>
            </w:pPr>
            <w:r>
              <w:rPr>
                <w:color w:val="auto"/>
              </w:rPr>
              <w:fldChar w:fldCharType="begin"/>
            </w:r>
            <w:r>
              <w:rPr>
                <w:color w:val="auto"/>
              </w:rPr>
              <w:instrText xml:space="preserve"> </w:instrText>
            </w:r>
            <w:r>
              <w:rPr>
                <w:rFonts w:hint="eastAsia"/>
                <w:color w:val="auto"/>
              </w:rPr>
              <w:instrText xml:space="preserve">= 1 \* GB3</w:instrText>
            </w:r>
            <w:r>
              <w:rPr>
                <w:color w:val="auto"/>
              </w:rPr>
              <w:instrText xml:space="preserve"> </w:instrText>
            </w:r>
            <w:r>
              <w:rPr>
                <w:color w:val="auto"/>
              </w:rPr>
              <w:fldChar w:fldCharType="separate"/>
            </w:r>
            <w:r>
              <w:rPr>
                <w:rFonts w:hint="eastAsia"/>
                <w:color w:val="auto"/>
              </w:rPr>
              <w:t>①</w:t>
            </w:r>
            <w:r>
              <w:rPr>
                <w:color w:val="auto"/>
              </w:rPr>
              <w:fldChar w:fldCharType="end"/>
            </w:r>
            <w:r>
              <w:rPr>
                <w:color w:val="auto"/>
              </w:rPr>
              <w:t>结合工程场地现状，合理布置供水管线路由及相关建筑物（构筑物），力求布置紧凑，设计合理，满足运行管理方面的需求。</w:t>
            </w:r>
          </w:p>
          <w:p w14:paraId="1D2C0475">
            <w:pPr>
              <w:ind w:firstLine="480"/>
              <w:rPr>
                <w:color w:val="auto"/>
              </w:rPr>
            </w:pPr>
            <w:r>
              <w:rPr>
                <w:color w:val="auto"/>
              </w:rPr>
              <w:fldChar w:fldCharType="begin"/>
            </w:r>
            <w:r>
              <w:rPr>
                <w:color w:val="auto"/>
              </w:rPr>
              <w:instrText xml:space="preserve"> </w:instrText>
            </w:r>
            <w:r>
              <w:rPr>
                <w:rFonts w:hint="eastAsia"/>
                <w:color w:val="auto"/>
              </w:rPr>
              <w:instrText xml:space="preserve">= 2 \* GB3</w:instrText>
            </w:r>
            <w:r>
              <w:rPr>
                <w:color w:val="auto"/>
              </w:rPr>
              <w:instrText xml:space="preserve"> </w:instrText>
            </w:r>
            <w:r>
              <w:rPr>
                <w:color w:val="auto"/>
              </w:rPr>
              <w:fldChar w:fldCharType="separate"/>
            </w:r>
            <w:r>
              <w:rPr>
                <w:rFonts w:hint="eastAsia"/>
                <w:color w:val="auto"/>
              </w:rPr>
              <w:t>②</w:t>
            </w:r>
            <w:r>
              <w:rPr>
                <w:color w:val="auto"/>
              </w:rPr>
              <w:fldChar w:fldCharType="end"/>
            </w:r>
            <w:r>
              <w:rPr>
                <w:color w:val="auto"/>
              </w:rPr>
              <w:t>充分利用现状地形，减少不必要的开挖及回填，节省工程投资。</w:t>
            </w:r>
          </w:p>
          <w:p w14:paraId="3CB3C722">
            <w:pPr>
              <w:ind w:firstLine="480"/>
              <w:rPr>
                <w:color w:val="auto"/>
              </w:rPr>
            </w:pPr>
            <w:r>
              <w:rPr>
                <w:rFonts w:hint="eastAsia"/>
                <w:color w:val="auto"/>
              </w:rPr>
              <w:t>（2）</w:t>
            </w:r>
            <w:r>
              <w:rPr>
                <w:color w:val="auto"/>
              </w:rPr>
              <w:t>工程总布置方案</w:t>
            </w:r>
          </w:p>
          <w:p w14:paraId="69481589">
            <w:pPr>
              <w:ind w:firstLine="480"/>
              <w:rPr>
                <w:color w:val="auto"/>
              </w:rPr>
            </w:pPr>
            <w:r>
              <w:rPr>
                <w:rFonts w:hint="eastAsia"/>
                <w:color w:val="auto"/>
              </w:rPr>
              <w:t>1）流里河片区主要建设内容：</w:t>
            </w:r>
          </w:p>
          <w:p w14:paraId="0D6F0948">
            <w:pPr>
              <w:ind w:firstLine="480"/>
              <w:rPr>
                <w:color w:val="auto"/>
              </w:rPr>
            </w:pPr>
            <w:r>
              <w:rPr>
                <w:rFonts w:hint="eastAsia"/>
                <w:color w:val="auto"/>
              </w:rPr>
              <w:t>①新建流里河水库至观山坪村、白土垭村、平坝村等灌溉和供水主管道、支管道；</w:t>
            </w:r>
          </w:p>
          <w:p w14:paraId="77C3C0D5">
            <w:pPr>
              <w:ind w:firstLine="480"/>
              <w:rPr>
                <w:color w:val="auto"/>
              </w:rPr>
            </w:pPr>
            <w:r>
              <w:rPr>
                <w:rFonts w:hint="eastAsia"/>
                <w:color w:val="auto"/>
              </w:rPr>
              <w:t>②新建库区浮筒取水工程1处。</w:t>
            </w:r>
          </w:p>
          <w:p w14:paraId="2BC995A1">
            <w:pPr>
              <w:ind w:firstLine="480"/>
              <w:rPr>
                <w:color w:val="auto"/>
              </w:rPr>
            </w:pPr>
            <w:r>
              <w:rPr>
                <w:rFonts w:hint="eastAsia"/>
                <w:color w:val="auto"/>
              </w:rPr>
              <w:t>2）澌溪沟水库片区主要建设内容：</w:t>
            </w:r>
          </w:p>
          <w:p w14:paraId="6F7E0AD7">
            <w:pPr>
              <w:ind w:firstLine="480"/>
              <w:rPr>
                <w:color w:val="auto"/>
              </w:rPr>
            </w:pPr>
            <w:r>
              <w:rPr>
                <w:rFonts w:hint="eastAsia"/>
                <w:color w:val="auto"/>
              </w:rPr>
              <w:t>①新建水库至双泉村、白马村灌溉主管道、支管道；</w:t>
            </w:r>
          </w:p>
          <w:p w14:paraId="5172D3A3">
            <w:pPr>
              <w:ind w:firstLine="480"/>
              <w:rPr>
                <w:color w:val="auto"/>
              </w:rPr>
            </w:pPr>
            <w:r>
              <w:rPr>
                <w:rFonts w:hint="eastAsia"/>
                <w:color w:val="auto"/>
              </w:rPr>
              <w:t>②新建库区浮筒取水工程1处，新建白马村200 m</w:t>
            </w:r>
            <w:r>
              <w:rPr>
                <w:rFonts w:hint="eastAsia"/>
                <w:color w:val="auto"/>
                <w:vertAlign w:val="superscript"/>
              </w:rPr>
              <w:t>3</w:t>
            </w:r>
            <w:r>
              <w:rPr>
                <w:rFonts w:hint="eastAsia"/>
                <w:color w:val="auto"/>
              </w:rPr>
              <w:t>水池1座。</w:t>
            </w:r>
          </w:p>
          <w:p w14:paraId="3D2E0608">
            <w:pPr>
              <w:ind w:firstLine="480"/>
              <w:rPr>
                <w:color w:val="auto"/>
              </w:rPr>
            </w:pPr>
            <w:r>
              <w:rPr>
                <w:rFonts w:hint="eastAsia"/>
                <w:color w:val="auto"/>
              </w:rPr>
              <w:t>3）王家河水库片区主要建设内容：</w:t>
            </w:r>
          </w:p>
          <w:p w14:paraId="29AA3760">
            <w:pPr>
              <w:ind w:firstLine="480"/>
              <w:rPr>
                <w:color w:val="auto"/>
              </w:rPr>
            </w:pPr>
            <w:r>
              <w:rPr>
                <w:rFonts w:hint="eastAsia"/>
                <w:color w:val="auto"/>
              </w:rPr>
              <w:t>①新建王家河水库至铁佛水厂输水管道；</w:t>
            </w:r>
          </w:p>
          <w:p w14:paraId="021B28E2">
            <w:pPr>
              <w:ind w:firstLine="480"/>
              <w:rPr>
                <w:color w:val="auto"/>
              </w:rPr>
            </w:pPr>
            <w:r>
              <w:rPr>
                <w:rFonts w:hint="eastAsia"/>
                <w:color w:val="auto"/>
              </w:rPr>
              <w:t>②新建铁佛水厂至麻石镇配水主管；</w:t>
            </w:r>
          </w:p>
          <w:p w14:paraId="66FC12C2">
            <w:pPr>
              <w:ind w:firstLine="480"/>
              <w:rPr>
                <w:color w:val="auto"/>
              </w:rPr>
            </w:pPr>
            <w:r>
              <w:rPr>
                <w:rFonts w:hint="eastAsia"/>
                <w:color w:val="auto"/>
              </w:rPr>
              <w:t>③新建库区浮筒取水工程1处，加压泵站2座，500m</w:t>
            </w:r>
            <w:r>
              <w:rPr>
                <w:rFonts w:hint="eastAsia"/>
                <w:color w:val="auto"/>
                <w:vertAlign w:val="superscript"/>
              </w:rPr>
              <w:t>3</w:t>
            </w:r>
            <w:r>
              <w:rPr>
                <w:rFonts w:hint="eastAsia"/>
                <w:color w:val="auto"/>
              </w:rPr>
              <w:t>调蓄池1座。</w:t>
            </w:r>
          </w:p>
          <w:p w14:paraId="14737AC5">
            <w:pPr>
              <w:ind w:firstLine="480"/>
              <w:rPr>
                <w:color w:val="auto"/>
              </w:rPr>
            </w:pPr>
            <w:r>
              <w:rPr>
                <w:rFonts w:hint="eastAsia"/>
                <w:color w:val="auto"/>
              </w:rPr>
              <w:t>4）工程管道穿越情况</w:t>
            </w:r>
          </w:p>
          <w:p w14:paraId="0CED1008">
            <w:pPr>
              <w:ind w:firstLine="480"/>
              <w:rPr>
                <w:color w:val="auto"/>
              </w:rPr>
            </w:pPr>
            <w:r>
              <w:rPr>
                <w:color w:val="auto"/>
              </w:rPr>
              <w:t>本项目共计穿越道路32处，总穿越长度125.21m，共计占地面积599.92m</w:t>
            </w:r>
            <w:r>
              <w:rPr>
                <w:color w:val="auto"/>
                <w:vertAlign w:val="superscript"/>
              </w:rPr>
              <w:t>2</w:t>
            </w:r>
            <w:r>
              <w:rPr>
                <w:color w:val="auto"/>
              </w:rPr>
              <w:t>，穿越村道时，对于PE材质管道采用钢管+10cm外包C20混凝土进行保护</w:t>
            </w:r>
            <w:r>
              <w:rPr>
                <w:rFonts w:hint="eastAsia"/>
                <w:color w:val="auto"/>
              </w:rPr>
              <w:t>。</w:t>
            </w:r>
          </w:p>
          <w:p w14:paraId="6F688035">
            <w:pPr>
              <w:ind w:firstLine="480"/>
              <w:rPr>
                <w:color w:val="auto"/>
              </w:rPr>
            </w:pPr>
            <w:r>
              <w:rPr>
                <w:rFonts w:hint="eastAsia"/>
                <w:color w:val="auto"/>
              </w:rPr>
              <w:t>项目总体布局图如下：</w:t>
            </w:r>
          </w:p>
          <w:p w14:paraId="6EB1F73C">
            <w:pPr>
              <w:ind w:firstLine="480"/>
              <w:rPr>
                <w:color w:val="auto"/>
              </w:rPr>
            </w:pPr>
          </w:p>
          <w:p w14:paraId="170B5908">
            <w:pPr>
              <w:ind w:firstLine="0" w:firstLineChars="0"/>
              <w:jc w:val="center"/>
              <w:rPr>
                <w:color w:val="auto"/>
              </w:rPr>
            </w:pPr>
            <w:r>
              <w:rPr>
                <w:color w:val="auto"/>
              </w:rPr>
              <w:drawing>
                <wp:inline distT="0" distB="0" distL="0" distR="0">
                  <wp:extent cx="4928870" cy="4271010"/>
                  <wp:effectExtent l="0" t="0" r="5080" b="0"/>
                  <wp:docPr id="150038410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84100" name="图片 10"/>
                          <pic:cNvPicPr>
                            <a:picLocks noChangeAspect="1" noChangeArrowheads="1"/>
                          </pic:cNvPicPr>
                        </pic:nvPicPr>
                        <pic:blipFill>
                          <a:blip r:embed="rId17" cstate="print">
                            <a:extLst>
                              <a:ext uri="{28A0092B-C50C-407E-A947-70E740481C1C}">
                                <a14:useLocalDpi xmlns:a14="http://schemas.microsoft.com/office/drawing/2010/main" val="0"/>
                              </a:ext>
                            </a:extLst>
                          </a:blip>
                          <a:srcRect l="10606" t="6317" r="18275" b="6522"/>
                          <a:stretch>
                            <a:fillRect/>
                          </a:stretch>
                        </pic:blipFill>
                        <pic:spPr>
                          <a:xfrm>
                            <a:off x="0" y="0"/>
                            <a:ext cx="4944958" cy="4284704"/>
                          </a:xfrm>
                          <a:prstGeom prst="rect">
                            <a:avLst/>
                          </a:prstGeom>
                          <a:noFill/>
                          <a:ln>
                            <a:noFill/>
                          </a:ln>
                        </pic:spPr>
                      </pic:pic>
                    </a:graphicData>
                  </a:graphic>
                </wp:inline>
              </w:drawing>
            </w:r>
          </w:p>
          <w:p w14:paraId="2963516A">
            <w:pPr>
              <w:pStyle w:val="17"/>
              <w:rPr>
                <w:rFonts w:hint="default"/>
                <w:color w:val="auto"/>
              </w:rPr>
            </w:pPr>
            <w:r>
              <w:rPr>
                <w:color w:val="auto"/>
              </w:rPr>
              <w:t>图2-1 项目总体布局图</w:t>
            </w:r>
          </w:p>
          <w:p w14:paraId="05DC6F5E">
            <w:pPr>
              <w:ind w:firstLine="482"/>
              <w:rPr>
                <w:b/>
                <w:bCs/>
                <w:color w:val="auto"/>
              </w:rPr>
            </w:pPr>
            <w:r>
              <w:rPr>
                <w:rFonts w:hint="eastAsia"/>
                <w:b/>
                <w:bCs/>
                <w:color w:val="auto"/>
              </w:rPr>
              <w:t>5、</w:t>
            </w:r>
            <w:r>
              <w:rPr>
                <w:b/>
                <w:bCs/>
                <w:color w:val="auto"/>
              </w:rPr>
              <w:t>机电及金属结构设计</w:t>
            </w:r>
          </w:p>
          <w:p w14:paraId="74A90F49">
            <w:pPr>
              <w:ind w:firstLine="480"/>
              <w:rPr>
                <w:color w:val="auto"/>
              </w:rPr>
            </w:pPr>
            <w:r>
              <w:rPr>
                <w:rFonts w:hint="eastAsia"/>
                <w:color w:val="auto"/>
              </w:rPr>
              <w:t>（1）</w:t>
            </w:r>
            <w:r>
              <w:rPr>
                <w:color w:val="auto"/>
              </w:rPr>
              <w:t>取水工程</w:t>
            </w:r>
          </w:p>
          <w:p w14:paraId="14BC4ED2">
            <w:pPr>
              <w:ind w:firstLine="480"/>
              <w:rPr>
                <w:color w:val="auto"/>
              </w:rPr>
            </w:pPr>
            <w:r>
              <w:rPr>
                <w:color w:val="auto"/>
              </w:rPr>
              <w:t>本工程共设置3座取水泵站（均为浮筒取水泵站），泵站特性见下表。</w:t>
            </w:r>
          </w:p>
          <w:p w14:paraId="172885F7">
            <w:pPr>
              <w:pStyle w:val="17"/>
              <w:rPr>
                <w:rFonts w:hint="default"/>
                <w:color w:val="auto"/>
              </w:rPr>
            </w:pPr>
            <w:r>
              <w:rPr>
                <w:color w:val="auto"/>
              </w:rPr>
              <w:t>表2-3 泵站特性表</w:t>
            </w:r>
          </w:p>
          <w:tbl>
            <w:tblPr>
              <w:tblStyle w:val="1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40"/>
              <w:gridCol w:w="2013"/>
              <w:gridCol w:w="1856"/>
              <w:gridCol w:w="1855"/>
            </w:tblGrid>
            <w:tr w14:paraId="5F94F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single" w:color="auto" w:sz="4" w:space="0"/>
                  </w:tcBorders>
                  <w:vAlign w:val="center"/>
                </w:tcPr>
                <w:p w14:paraId="08A806A3">
                  <w:pPr>
                    <w:pStyle w:val="16"/>
                    <w:ind w:firstLine="1260" w:firstLineChars="600"/>
                    <w:rPr>
                      <w:color w:val="auto"/>
                    </w:rPr>
                  </w:pPr>
                  <w:r>
                    <w:rPr>
                      <w:rFonts w:hint="eastAsia"/>
                      <w:color w:val="auto"/>
                    </w:rPr>
                    <w:t>特性指标</w:t>
                  </w:r>
                </w:p>
                <w:p w14:paraId="31134DA5">
                  <w:pPr>
                    <w:pStyle w:val="16"/>
                    <w:rPr>
                      <w:color w:val="auto"/>
                    </w:rPr>
                  </w:pPr>
                  <w:r>
                    <w:rPr>
                      <w:rFonts w:hint="eastAsia"/>
                      <w:color w:val="auto"/>
                    </w:rPr>
                    <w:t>工程名称</w:t>
                  </w:r>
                </w:p>
              </w:tc>
              <w:tc>
                <w:tcPr>
                  <w:tcW w:w="1233" w:type="pct"/>
                  <w:tcBorders>
                    <w:tl2br w:val="nil"/>
                    <w:tr2bl w:val="nil"/>
                  </w:tcBorders>
                  <w:vAlign w:val="center"/>
                </w:tcPr>
                <w:p w14:paraId="4C966FC8">
                  <w:pPr>
                    <w:pStyle w:val="16"/>
                    <w:rPr>
                      <w:color w:val="auto"/>
                    </w:rPr>
                  </w:pPr>
                  <w:r>
                    <w:rPr>
                      <w:rFonts w:hint="eastAsia"/>
                      <w:color w:val="auto"/>
                    </w:rPr>
                    <w:t>流里河水库片区</w:t>
                  </w:r>
                </w:p>
              </w:tc>
              <w:tc>
                <w:tcPr>
                  <w:tcW w:w="1137" w:type="pct"/>
                  <w:tcBorders>
                    <w:tl2br w:val="nil"/>
                    <w:tr2bl w:val="nil"/>
                  </w:tcBorders>
                  <w:vAlign w:val="center"/>
                </w:tcPr>
                <w:p w14:paraId="424B3861">
                  <w:pPr>
                    <w:pStyle w:val="16"/>
                    <w:rPr>
                      <w:color w:val="auto"/>
                    </w:rPr>
                  </w:pPr>
                  <w:r>
                    <w:rPr>
                      <w:rFonts w:hint="eastAsia"/>
                      <w:color w:val="auto"/>
                    </w:rPr>
                    <w:t>澌溪沟水库片区</w:t>
                  </w:r>
                </w:p>
              </w:tc>
              <w:tc>
                <w:tcPr>
                  <w:tcW w:w="1137" w:type="pct"/>
                  <w:tcBorders>
                    <w:tl2br w:val="nil"/>
                    <w:tr2bl w:val="nil"/>
                  </w:tcBorders>
                  <w:vAlign w:val="center"/>
                </w:tcPr>
                <w:p w14:paraId="5ABEAA38">
                  <w:pPr>
                    <w:pStyle w:val="16"/>
                    <w:rPr>
                      <w:color w:val="auto"/>
                    </w:rPr>
                  </w:pPr>
                  <w:r>
                    <w:rPr>
                      <w:rFonts w:hint="eastAsia"/>
                      <w:color w:val="auto"/>
                    </w:rPr>
                    <w:t>王家河水库片区</w:t>
                  </w:r>
                </w:p>
              </w:tc>
            </w:tr>
            <w:tr w14:paraId="62E11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71BC222D">
                  <w:pPr>
                    <w:pStyle w:val="16"/>
                    <w:rPr>
                      <w:color w:val="auto"/>
                    </w:rPr>
                  </w:pPr>
                  <w:r>
                    <w:rPr>
                      <w:rFonts w:hint="eastAsia"/>
                      <w:color w:val="auto"/>
                    </w:rPr>
                    <w:t>泵站布置型式</w:t>
                  </w:r>
                </w:p>
              </w:tc>
              <w:tc>
                <w:tcPr>
                  <w:tcW w:w="1233" w:type="pct"/>
                  <w:tcBorders>
                    <w:tl2br w:val="nil"/>
                    <w:tr2bl w:val="nil"/>
                  </w:tcBorders>
                  <w:vAlign w:val="center"/>
                </w:tcPr>
                <w:p w14:paraId="5978055E">
                  <w:pPr>
                    <w:pStyle w:val="16"/>
                    <w:rPr>
                      <w:color w:val="auto"/>
                    </w:rPr>
                  </w:pPr>
                  <w:r>
                    <w:rPr>
                      <w:rFonts w:hint="eastAsia"/>
                      <w:color w:val="auto"/>
                    </w:rPr>
                    <w:t>浮筒式</w:t>
                  </w:r>
                </w:p>
              </w:tc>
              <w:tc>
                <w:tcPr>
                  <w:tcW w:w="1137" w:type="pct"/>
                  <w:tcBorders>
                    <w:tl2br w:val="nil"/>
                    <w:tr2bl w:val="nil"/>
                  </w:tcBorders>
                  <w:vAlign w:val="center"/>
                </w:tcPr>
                <w:p w14:paraId="6C72CC13">
                  <w:pPr>
                    <w:pStyle w:val="16"/>
                    <w:rPr>
                      <w:color w:val="auto"/>
                    </w:rPr>
                  </w:pPr>
                  <w:r>
                    <w:rPr>
                      <w:rFonts w:hint="eastAsia"/>
                      <w:color w:val="auto"/>
                    </w:rPr>
                    <w:t>浮筒式</w:t>
                  </w:r>
                </w:p>
              </w:tc>
              <w:tc>
                <w:tcPr>
                  <w:tcW w:w="1137" w:type="pct"/>
                  <w:tcBorders>
                    <w:tl2br w:val="nil"/>
                    <w:tr2bl w:val="nil"/>
                  </w:tcBorders>
                  <w:vAlign w:val="center"/>
                </w:tcPr>
                <w:p w14:paraId="0B0BE872">
                  <w:pPr>
                    <w:pStyle w:val="16"/>
                    <w:rPr>
                      <w:color w:val="auto"/>
                    </w:rPr>
                  </w:pPr>
                  <w:r>
                    <w:rPr>
                      <w:rFonts w:hint="eastAsia"/>
                      <w:color w:val="auto"/>
                    </w:rPr>
                    <w:t>浮筒式</w:t>
                  </w:r>
                </w:p>
              </w:tc>
            </w:tr>
            <w:tr w14:paraId="108AF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6FDBC64A">
                  <w:pPr>
                    <w:pStyle w:val="16"/>
                    <w:rPr>
                      <w:color w:val="auto"/>
                    </w:rPr>
                  </w:pPr>
                  <w:r>
                    <w:rPr>
                      <w:rFonts w:hint="eastAsia"/>
                      <w:color w:val="auto"/>
                    </w:rPr>
                    <w:t>供水任务</w:t>
                  </w:r>
                </w:p>
              </w:tc>
              <w:tc>
                <w:tcPr>
                  <w:tcW w:w="1233" w:type="pct"/>
                  <w:tcBorders>
                    <w:tl2br w:val="nil"/>
                    <w:tr2bl w:val="nil"/>
                  </w:tcBorders>
                  <w:vAlign w:val="center"/>
                </w:tcPr>
                <w:p w14:paraId="5D52FEA4">
                  <w:pPr>
                    <w:pStyle w:val="16"/>
                    <w:rPr>
                      <w:color w:val="auto"/>
                    </w:rPr>
                  </w:pPr>
                  <w:r>
                    <w:rPr>
                      <w:rFonts w:hint="eastAsia"/>
                      <w:color w:val="auto"/>
                    </w:rPr>
                    <w:t>灌溉和生活供水</w:t>
                  </w:r>
                </w:p>
              </w:tc>
              <w:tc>
                <w:tcPr>
                  <w:tcW w:w="1137" w:type="pct"/>
                  <w:tcBorders>
                    <w:tl2br w:val="nil"/>
                    <w:tr2bl w:val="nil"/>
                  </w:tcBorders>
                  <w:vAlign w:val="center"/>
                </w:tcPr>
                <w:p w14:paraId="53FFB9DC">
                  <w:pPr>
                    <w:pStyle w:val="16"/>
                    <w:rPr>
                      <w:color w:val="auto"/>
                    </w:rPr>
                  </w:pPr>
                  <w:r>
                    <w:rPr>
                      <w:rFonts w:hint="eastAsia"/>
                      <w:color w:val="auto"/>
                    </w:rPr>
                    <w:t>灌溉</w:t>
                  </w:r>
                </w:p>
              </w:tc>
              <w:tc>
                <w:tcPr>
                  <w:tcW w:w="1137" w:type="pct"/>
                  <w:tcBorders>
                    <w:tl2br w:val="nil"/>
                    <w:tr2bl w:val="nil"/>
                  </w:tcBorders>
                  <w:vAlign w:val="center"/>
                </w:tcPr>
                <w:p w14:paraId="148A166D">
                  <w:pPr>
                    <w:pStyle w:val="16"/>
                    <w:rPr>
                      <w:color w:val="auto"/>
                    </w:rPr>
                  </w:pPr>
                  <w:r>
                    <w:rPr>
                      <w:rFonts w:hint="eastAsia"/>
                      <w:color w:val="auto"/>
                    </w:rPr>
                    <w:t>生活供水</w:t>
                  </w:r>
                </w:p>
              </w:tc>
            </w:tr>
            <w:tr w14:paraId="360C01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3F2B4621">
                  <w:pPr>
                    <w:pStyle w:val="16"/>
                    <w:rPr>
                      <w:color w:val="auto"/>
                    </w:rPr>
                  </w:pPr>
                  <w:r>
                    <w:rPr>
                      <w:rFonts w:hint="eastAsia"/>
                      <w:color w:val="auto"/>
                    </w:rPr>
                    <w:t>泵站设计流量（</w:t>
                  </w:r>
                  <w:r>
                    <w:rPr>
                      <w:color w:val="auto"/>
                    </w:rPr>
                    <w:t>m³/h</w:t>
                  </w:r>
                  <w:r>
                    <w:rPr>
                      <w:rFonts w:hint="eastAsia"/>
                      <w:color w:val="auto"/>
                    </w:rPr>
                    <w:t>）</w:t>
                  </w:r>
                </w:p>
              </w:tc>
              <w:tc>
                <w:tcPr>
                  <w:tcW w:w="1233" w:type="pct"/>
                  <w:tcBorders>
                    <w:tl2br w:val="nil"/>
                    <w:tr2bl w:val="nil"/>
                  </w:tcBorders>
                  <w:vAlign w:val="center"/>
                </w:tcPr>
                <w:p w14:paraId="7A2E2FC9">
                  <w:pPr>
                    <w:pStyle w:val="16"/>
                    <w:rPr>
                      <w:color w:val="auto"/>
                    </w:rPr>
                  </w:pPr>
                  <w:r>
                    <w:rPr>
                      <w:color w:val="auto"/>
                    </w:rPr>
                    <w:t>230</w:t>
                  </w:r>
                </w:p>
              </w:tc>
              <w:tc>
                <w:tcPr>
                  <w:tcW w:w="1137" w:type="pct"/>
                  <w:tcBorders>
                    <w:tl2br w:val="nil"/>
                    <w:tr2bl w:val="nil"/>
                  </w:tcBorders>
                  <w:vAlign w:val="center"/>
                </w:tcPr>
                <w:p w14:paraId="58EC1D04">
                  <w:pPr>
                    <w:pStyle w:val="16"/>
                    <w:rPr>
                      <w:color w:val="auto"/>
                    </w:rPr>
                  </w:pPr>
                  <w:r>
                    <w:rPr>
                      <w:color w:val="auto"/>
                    </w:rPr>
                    <w:t>522</w:t>
                  </w:r>
                </w:p>
              </w:tc>
              <w:tc>
                <w:tcPr>
                  <w:tcW w:w="1137" w:type="pct"/>
                  <w:tcBorders>
                    <w:tl2br w:val="nil"/>
                    <w:tr2bl w:val="nil"/>
                  </w:tcBorders>
                  <w:vAlign w:val="center"/>
                </w:tcPr>
                <w:p w14:paraId="75220AFA">
                  <w:pPr>
                    <w:pStyle w:val="16"/>
                    <w:rPr>
                      <w:color w:val="auto"/>
                    </w:rPr>
                  </w:pPr>
                  <w:r>
                    <w:rPr>
                      <w:color w:val="auto"/>
                    </w:rPr>
                    <w:t>20.63</w:t>
                  </w:r>
                </w:p>
              </w:tc>
            </w:tr>
            <w:tr w14:paraId="593D68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05A5157C">
                  <w:pPr>
                    <w:pStyle w:val="16"/>
                    <w:rPr>
                      <w:color w:val="auto"/>
                    </w:rPr>
                  </w:pPr>
                  <w:r>
                    <w:rPr>
                      <w:rFonts w:hint="eastAsia"/>
                      <w:color w:val="auto"/>
                    </w:rPr>
                    <w:t>年平均供水量（万</w:t>
                  </w:r>
                  <w:r>
                    <w:rPr>
                      <w:color w:val="auto"/>
                    </w:rPr>
                    <w:t>m³</w:t>
                  </w:r>
                  <w:r>
                    <w:rPr>
                      <w:rFonts w:hint="eastAsia"/>
                      <w:color w:val="auto"/>
                    </w:rPr>
                    <w:t>）</w:t>
                  </w:r>
                </w:p>
              </w:tc>
              <w:tc>
                <w:tcPr>
                  <w:tcW w:w="1233" w:type="pct"/>
                  <w:tcBorders>
                    <w:tl2br w:val="nil"/>
                    <w:tr2bl w:val="nil"/>
                  </w:tcBorders>
                  <w:vAlign w:val="center"/>
                </w:tcPr>
                <w:p w14:paraId="2935E88D">
                  <w:pPr>
                    <w:pStyle w:val="16"/>
                    <w:rPr>
                      <w:color w:val="auto"/>
                    </w:rPr>
                  </w:pPr>
                  <w:r>
                    <w:rPr>
                      <w:rFonts w:hint="eastAsia"/>
                      <w:color w:val="auto"/>
                    </w:rPr>
                    <w:t>180.18</w:t>
                  </w:r>
                </w:p>
              </w:tc>
              <w:tc>
                <w:tcPr>
                  <w:tcW w:w="1137" w:type="pct"/>
                  <w:tcBorders>
                    <w:tl2br w:val="nil"/>
                    <w:tr2bl w:val="nil"/>
                  </w:tcBorders>
                  <w:vAlign w:val="center"/>
                </w:tcPr>
                <w:p w14:paraId="14272D09">
                  <w:pPr>
                    <w:pStyle w:val="16"/>
                    <w:rPr>
                      <w:color w:val="auto"/>
                    </w:rPr>
                  </w:pPr>
                  <w:r>
                    <w:rPr>
                      <w:rFonts w:hint="eastAsia"/>
                      <w:color w:val="auto"/>
                    </w:rPr>
                    <w:t>88.18</w:t>
                  </w:r>
                </w:p>
              </w:tc>
              <w:tc>
                <w:tcPr>
                  <w:tcW w:w="1137" w:type="pct"/>
                  <w:tcBorders>
                    <w:tl2br w:val="nil"/>
                    <w:tr2bl w:val="nil"/>
                  </w:tcBorders>
                  <w:vAlign w:val="center"/>
                </w:tcPr>
                <w:p w14:paraId="3DF77482">
                  <w:pPr>
                    <w:pStyle w:val="16"/>
                    <w:rPr>
                      <w:color w:val="auto"/>
                    </w:rPr>
                  </w:pPr>
                  <w:r>
                    <w:rPr>
                      <w:rFonts w:hint="eastAsia"/>
                      <w:color w:val="auto"/>
                    </w:rPr>
                    <w:t>146.63</w:t>
                  </w:r>
                </w:p>
              </w:tc>
            </w:tr>
            <w:tr w14:paraId="02DA06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23E1EF4D">
                  <w:pPr>
                    <w:pStyle w:val="16"/>
                    <w:rPr>
                      <w:color w:val="auto"/>
                    </w:rPr>
                  </w:pPr>
                  <w:r>
                    <w:rPr>
                      <w:rFonts w:hint="eastAsia"/>
                      <w:color w:val="auto"/>
                    </w:rPr>
                    <w:t>年运行小时数（</w:t>
                  </w:r>
                  <w:r>
                    <w:rPr>
                      <w:color w:val="auto"/>
                    </w:rPr>
                    <w:t>h</w:t>
                  </w:r>
                  <w:r>
                    <w:rPr>
                      <w:rFonts w:hint="eastAsia"/>
                      <w:color w:val="auto"/>
                    </w:rPr>
                    <w:t>）</w:t>
                  </w:r>
                </w:p>
              </w:tc>
              <w:tc>
                <w:tcPr>
                  <w:tcW w:w="1233" w:type="pct"/>
                  <w:tcBorders>
                    <w:tl2br w:val="nil"/>
                    <w:tr2bl w:val="nil"/>
                  </w:tcBorders>
                  <w:vAlign w:val="center"/>
                </w:tcPr>
                <w:p w14:paraId="2DA62847">
                  <w:pPr>
                    <w:pStyle w:val="16"/>
                    <w:rPr>
                      <w:color w:val="auto"/>
                    </w:rPr>
                  </w:pPr>
                  <w:r>
                    <w:rPr>
                      <w:rFonts w:hint="eastAsia"/>
                      <w:color w:val="auto"/>
                    </w:rPr>
                    <w:t>7300</w:t>
                  </w:r>
                </w:p>
              </w:tc>
              <w:tc>
                <w:tcPr>
                  <w:tcW w:w="1137" w:type="pct"/>
                  <w:tcBorders>
                    <w:tl2br w:val="nil"/>
                    <w:tr2bl w:val="nil"/>
                  </w:tcBorders>
                  <w:vAlign w:val="center"/>
                </w:tcPr>
                <w:p w14:paraId="5A63F453">
                  <w:pPr>
                    <w:pStyle w:val="16"/>
                    <w:rPr>
                      <w:color w:val="auto"/>
                    </w:rPr>
                  </w:pPr>
                  <w:r>
                    <w:rPr>
                      <w:rFonts w:hint="eastAsia"/>
                      <w:color w:val="auto"/>
                    </w:rPr>
                    <w:t>7300</w:t>
                  </w:r>
                </w:p>
              </w:tc>
              <w:tc>
                <w:tcPr>
                  <w:tcW w:w="1137" w:type="pct"/>
                  <w:tcBorders>
                    <w:tl2br w:val="nil"/>
                    <w:tr2bl w:val="nil"/>
                  </w:tcBorders>
                  <w:vAlign w:val="center"/>
                </w:tcPr>
                <w:p w14:paraId="47A0E766">
                  <w:pPr>
                    <w:pStyle w:val="16"/>
                    <w:rPr>
                      <w:color w:val="auto"/>
                    </w:rPr>
                  </w:pPr>
                  <w:r>
                    <w:rPr>
                      <w:rFonts w:hint="eastAsia"/>
                      <w:color w:val="auto"/>
                    </w:rPr>
                    <w:t>7300</w:t>
                  </w:r>
                </w:p>
              </w:tc>
            </w:tr>
            <w:tr w14:paraId="5F90D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013188EE">
                  <w:pPr>
                    <w:pStyle w:val="16"/>
                    <w:rPr>
                      <w:color w:val="auto"/>
                    </w:rPr>
                  </w:pPr>
                  <w:r>
                    <w:rPr>
                      <w:rFonts w:hint="eastAsia"/>
                      <w:color w:val="auto"/>
                    </w:rPr>
                    <w:t>进水支管管径（</w:t>
                  </w:r>
                  <w:r>
                    <w:rPr>
                      <w:color w:val="auto"/>
                    </w:rPr>
                    <w:t>m</w:t>
                  </w:r>
                  <w:r>
                    <w:rPr>
                      <w:rFonts w:hint="eastAsia"/>
                      <w:color w:val="auto"/>
                    </w:rPr>
                    <w:t>m）</w:t>
                  </w:r>
                </w:p>
              </w:tc>
              <w:tc>
                <w:tcPr>
                  <w:tcW w:w="1233" w:type="pct"/>
                  <w:tcBorders>
                    <w:tl2br w:val="nil"/>
                    <w:tr2bl w:val="nil"/>
                  </w:tcBorders>
                  <w:vAlign w:val="center"/>
                </w:tcPr>
                <w:p w14:paraId="645EBFB8">
                  <w:pPr>
                    <w:pStyle w:val="16"/>
                    <w:rPr>
                      <w:color w:val="auto"/>
                    </w:rPr>
                  </w:pPr>
                  <w:r>
                    <w:rPr>
                      <w:rFonts w:hint="eastAsia"/>
                      <w:color w:val="auto"/>
                    </w:rPr>
                    <w:t>300</w:t>
                  </w:r>
                </w:p>
              </w:tc>
              <w:tc>
                <w:tcPr>
                  <w:tcW w:w="1137" w:type="pct"/>
                  <w:tcBorders>
                    <w:tl2br w:val="nil"/>
                    <w:tr2bl w:val="nil"/>
                  </w:tcBorders>
                  <w:vAlign w:val="center"/>
                </w:tcPr>
                <w:p w14:paraId="21EDDB98">
                  <w:pPr>
                    <w:pStyle w:val="16"/>
                    <w:rPr>
                      <w:color w:val="auto"/>
                    </w:rPr>
                  </w:pPr>
                  <w:r>
                    <w:rPr>
                      <w:rFonts w:hint="eastAsia"/>
                      <w:color w:val="auto"/>
                    </w:rPr>
                    <w:t>350</w:t>
                  </w:r>
                </w:p>
              </w:tc>
              <w:tc>
                <w:tcPr>
                  <w:tcW w:w="1137" w:type="pct"/>
                  <w:tcBorders>
                    <w:tl2br w:val="nil"/>
                    <w:tr2bl w:val="nil"/>
                  </w:tcBorders>
                  <w:vAlign w:val="center"/>
                </w:tcPr>
                <w:p w14:paraId="3D0E1037">
                  <w:pPr>
                    <w:pStyle w:val="16"/>
                    <w:rPr>
                      <w:color w:val="auto"/>
                    </w:rPr>
                  </w:pPr>
                  <w:r>
                    <w:rPr>
                      <w:rFonts w:hint="eastAsia"/>
                      <w:color w:val="auto"/>
                    </w:rPr>
                    <w:t>400</w:t>
                  </w:r>
                </w:p>
              </w:tc>
            </w:tr>
            <w:tr w14:paraId="3F9FA7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52BE901E">
                  <w:pPr>
                    <w:pStyle w:val="16"/>
                    <w:rPr>
                      <w:color w:val="auto"/>
                    </w:rPr>
                  </w:pPr>
                  <w:r>
                    <w:rPr>
                      <w:rFonts w:hint="eastAsia"/>
                      <w:color w:val="auto"/>
                    </w:rPr>
                    <w:t>出水支管管径（</w:t>
                  </w:r>
                  <w:r>
                    <w:rPr>
                      <w:color w:val="auto"/>
                    </w:rPr>
                    <w:t>m</w:t>
                  </w:r>
                  <w:r>
                    <w:rPr>
                      <w:rFonts w:hint="eastAsia"/>
                      <w:color w:val="auto"/>
                    </w:rPr>
                    <w:t>m）</w:t>
                  </w:r>
                </w:p>
              </w:tc>
              <w:tc>
                <w:tcPr>
                  <w:tcW w:w="1233" w:type="pct"/>
                  <w:tcBorders>
                    <w:tl2br w:val="nil"/>
                    <w:tr2bl w:val="nil"/>
                  </w:tcBorders>
                  <w:vAlign w:val="center"/>
                </w:tcPr>
                <w:p w14:paraId="73ABBDB7">
                  <w:pPr>
                    <w:pStyle w:val="16"/>
                    <w:rPr>
                      <w:color w:val="auto"/>
                    </w:rPr>
                  </w:pPr>
                  <w:r>
                    <w:rPr>
                      <w:rFonts w:hint="eastAsia"/>
                      <w:color w:val="auto"/>
                    </w:rPr>
                    <w:t>D300*6</w:t>
                  </w:r>
                </w:p>
              </w:tc>
              <w:tc>
                <w:tcPr>
                  <w:tcW w:w="1137" w:type="pct"/>
                  <w:tcBorders>
                    <w:tl2br w:val="nil"/>
                    <w:tr2bl w:val="nil"/>
                  </w:tcBorders>
                  <w:vAlign w:val="center"/>
                </w:tcPr>
                <w:p w14:paraId="1E9A0820">
                  <w:pPr>
                    <w:pStyle w:val="16"/>
                    <w:rPr>
                      <w:color w:val="auto"/>
                    </w:rPr>
                  </w:pPr>
                  <w:r>
                    <w:rPr>
                      <w:rFonts w:hint="eastAsia"/>
                      <w:color w:val="auto"/>
                    </w:rPr>
                    <w:t>D350*6</w:t>
                  </w:r>
                </w:p>
              </w:tc>
              <w:tc>
                <w:tcPr>
                  <w:tcW w:w="1137" w:type="pct"/>
                  <w:tcBorders>
                    <w:tl2br w:val="nil"/>
                    <w:tr2bl w:val="nil"/>
                  </w:tcBorders>
                  <w:vAlign w:val="center"/>
                </w:tcPr>
                <w:p w14:paraId="163663CF">
                  <w:pPr>
                    <w:pStyle w:val="16"/>
                    <w:rPr>
                      <w:color w:val="auto"/>
                    </w:rPr>
                  </w:pPr>
                  <w:r>
                    <w:rPr>
                      <w:rFonts w:hint="eastAsia"/>
                      <w:color w:val="auto"/>
                    </w:rPr>
                    <w:t>D350*6</w:t>
                  </w:r>
                </w:p>
              </w:tc>
            </w:tr>
            <w:tr w14:paraId="2BD93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6AF57F19">
                  <w:pPr>
                    <w:pStyle w:val="16"/>
                    <w:rPr>
                      <w:color w:val="auto"/>
                    </w:rPr>
                  </w:pPr>
                  <w:r>
                    <w:rPr>
                      <w:rFonts w:hint="eastAsia"/>
                      <w:color w:val="auto"/>
                    </w:rPr>
                    <w:t>提水主管线型式</w:t>
                  </w:r>
                </w:p>
              </w:tc>
              <w:tc>
                <w:tcPr>
                  <w:tcW w:w="1233" w:type="pct"/>
                  <w:tcBorders>
                    <w:tl2br w:val="nil"/>
                    <w:tr2bl w:val="nil"/>
                  </w:tcBorders>
                  <w:vAlign w:val="center"/>
                </w:tcPr>
                <w:p w14:paraId="6719C62F">
                  <w:pPr>
                    <w:pStyle w:val="16"/>
                    <w:rPr>
                      <w:color w:val="auto"/>
                    </w:rPr>
                  </w:pPr>
                  <w:r>
                    <w:rPr>
                      <w:color w:val="auto"/>
                    </w:rPr>
                    <w:t>1</w:t>
                  </w:r>
                  <w:r>
                    <w:rPr>
                      <w:rFonts w:hint="eastAsia"/>
                      <w:color w:val="auto"/>
                    </w:rPr>
                    <w:t>管</w:t>
                  </w:r>
                  <w:r>
                    <w:rPr>
                      <w:color w:val="auto"/>
                    </w:rPr>
                    <w:t>1</w:t>
                  </w:r>
                  <w:r>
                    <w:rPr>
                      <w:rFonts w:hint="eastAsia"/>
                      <w:color w:val="auto"/>
                    </w:rPr>
                    <w:t>机</w:t>
                  </w:r>
                </w:p>
              </w:tc>
              <w:tc>
                <w:tcPr>
                  <w:tcW w:w="1137" w:type="pct"/>
                  <w:tcBorders>
                    <w:tl2br w:val="nil"/>
                    <w:tr2bl w:val="nil"/>
                  </w:tcBorders>
                  <w:vAlign w:val="center"/>
                </w:tcPr>
                <w:p w14:paraId="62D4ECB0">
                  <w:pPr>
                    <w:pStyle w:val="16"/>
                    <w:rPr>
                      <w:color w:val="auto"/>
                    </w:rPr>
                  </w:pPr>
                  <w:r>
                    <w:rPr>
                      <w:color w:val="auto"/>
                    </w:rPr>
                    <w:t>1</w:t>
                  </w:r>
                  <w:r>
                    <w:rPr>
                      <w:rFonts w:hint="eastAsia"/>
                      <w:color w:val="auto"/>
                    </w:rPr>
                    <w:t>管</w:t>
                  </w:r>
                  <w:r>
                    <w:rPr>
                      <w:color w:val="auto"/>
                    </w:rPr>
                    <w:t>1</w:t>
                  </w:r>
                  <w:r>
                    <w:rPr>
                      <w:rFonts w:hint="eastAsia"/>
                      <w:color w:val="auto"/>
                    </w:rPr>
                    <w:t>机</w:t>
                  </w:r>
                </w:p>
              </w:tc>
              <w:tc>
                <w:tcPr>
                  <w:tcW w:w="1137" w:type="pct"/>
                  <w:tcBorders>
                    <w:tl2br w:val="nil"/>
                    <w:tr2bl w:val="nil"/>
                  </w:tcBorders>
                  <w:vAlign w:val="center"/>
                </w:tcPr>
                <w:p w14:paraId="1D890032">
                  <w:pPr>
                    <w:pStyle w:val="16"/>
                    <w:rPr>
                      <w:color w:val="auto"/>
                    </w:rPr>
                  </w:pPr>
                  <w:r>
                    <w:rPr>
                      <w:color w:val="auto"/>
                    </w:rPr>
                    <w:t>1</w:t>
                  </w:r>
                  <w:r>
                    <w:rPr>
                      <w:rFonts w:hint="eastAsia"/>
                      <w:color w:val="auto"/>
                    </w:rPr>
                    <w:t>管</w:t>
                  </w:r>
                  <w:r>
                    <w:rPr>
                      <w:color w:val="auto"/>
                    </w:rPr>
                    <w:t>1</w:t>
                  </w:r>
                  <w:r>
                    <w:rPr>
                      <w:rFonts w:hint="eastAsia"/>
                      <w:color w:val="auto"/>
                    </w:rPr>
                    <w:t>机</w:t>
                  </w:r>
                </w:p>
              </w:tc>
            </w:tr>
            <w:tr w14:paraId="6E8C0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4685EFEC">
                  <w:pPr>
                    <w:pStyle w:val="16"/>
                    <w:rPr>
                      <w:color w:val="auto"/>
                    </w:rPr>
                  </w:pPr>
                  <w:r>
                    <w:rPr>
                      <w:rFonts w:hint="eastAsia"/>
                      <w:color w:val="auto"/>
                    </w:rPr>
                    <w:t>提水主管管径</w:t>
                  </w:r>
                  <w:r>
                    <w:rPr>
                      <w:color w:val="auto"/>
                    </w:rPr>
                    <w:t>/</w:t>
                  </w:r>
                  <w:r>
                    <w:rPr>
                      <w:rFonts w:hint="eastAsia"/>
                      <w:color w:val="auto"/>
                    </w:rPr>
                    <w:t>长度（</w:t>
                  </w:r>
                  <w:r>
                    <w:rPr>
                      <w:color w:val="auto"/>
                    </w:rPr>
                    <w:t>m</w:t>
                  </w:r>
                  <w:r>
                    <w:rPr>
                      <w:rFonts w:hint="eastAsia"/>
                      <w:color w:val="auto"/>
                    </w:rPr>
                    <w:t>）</w:t>
                  </w:r>
                </w:p>
              </w:tc>
              <w:tc>
                <w:tcPr>
                  <w:tcW w:w="1233" w:type="pct"/>
                  <w:tcBorders>
                    <w:tl2br w:val="nil"/>
                    <w:tr2bl w:val="nil"/>
                  </w:tcBorders>
                  <w:vAlign w:val="center"/>
                </w:tcPr>
                <w:p w14:paraId="1B520CAD">
                  <w:pPr>
                    <w:pStyle w:val="16"/>
                    <w:rPr>
                      <w:color w:val="auto"/>
                    </w:rPr>
                  </w:pPr>
                  <w:r>
                    <w:rPr>
                      <w:color w:val="auto"/>
                    </w:rPr>
                    <w:t>0.</w:t>
                  </w:r>
                  <w:r>
                    <w:rPr>
                      <w:rFonts w:hint="eastAsia"/>
                      <w:color w:val="auto"/>
                    </w:rPr>
                    <w:t>30</w:t>
                  </w:r>
                  <w:r>
                    <w:rPr>
                      <w:color w:val="auto"/>
                    </w:rPr>
                    <w:t>/137</w:t>
                  </w:r>
                </w:p>
              </w:tc>
              <w:tc>
                <w:tcPr>
                  <w:tcW w:w="1137" w:type="pct"/>
                  <w:tcBorders>
                    <w:tl2br w:val="nil"/>
                    <w:tr2bl w:val="nil"/>
                  </w:tcBorders>
                  <w:vAlign w:val="center"/>
                </w:tcPr>
                <w:p w14:paraId="35BCF774">
                  <w:pPr>
                    <w:pStyle w:val="16"/>
                    <w:rPr>
                      <w:color w:val="auto"/>
                    </w:rPr>
                  </w:pPr>
                  <w:r>
                    <w:rPr>
                      <w:color w:val="auto"/>
                    </w:rPr>
                    <w:t>0.</w:t>
                  </w:r>
                  <w:r>
                    <w:rPr>
                      <w:rFonts w:hint="eastAsia"/>
                      <w:color w:val="auto"/>
                    </w:rPr>
                    <w:t>35</w:t>
                  </w:r>
                  <w:r>
                    <w:rPr>
                      <w:color w:val="auto"/>
                    </w:rPr>
                    <w:t>/647</w:t>
                  </w:r>
                </w:p>
              </w:tc>
              <w:tc>
                <w:tcPr>
                  <w:tcW w:w="1137" w:type="pct"/>
                  <w:tcBorders>
                    <w:tl2br w:val="nil"/>
                    <w:tr2bl w:val="nil"/>
                  </w:tcBorders>
                  <w:vAlign w:val="center"/>
                </w:tcPr>
                <w:p w14:paraId="2D6DF63B">
                  <w:pPr>
                    <w:pStyle w:val="16"/>
                    <w:rPr>
                      <w:color w:val="auto"/>
                    </w:rPr>
                  </w:pPr>
                  <w:r>
                    <w:rPr>
                      <w:color w:val="auto"/>
                    </w:rPr>
                    <w:t>0.</w:t>
                  </w:r>
                  <w:r>
                    <w:rPr>
                      <w:rFonts w:hint="eastAsia"/>
                      <w:color w:val="auto"/>
                    </w:rPr>
                    <w:t>35</w:t>
                  </w:r>
                  <w:r>
                    <w:rPr>
                      <w:color w:val="auto"/>
                    </w:rPr>
                    <w:t>/137</w:t>
                  </w:r>
                </w:p>
              </w:tc>
            </w:tr>
            <w:tr w14:paraId="7D1FE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0E07A40B">
                  <w:pPr>
                    <w:pStyle w:val="16"/>
                    <w:rPr>
                      <w:color w:val="auto"/>
                    </w:rPr>
                  </w:pPr>
                  <w:r>
                    <w:rPr>
                      <w:rFonts w:hint="eastAsia"/>
                      <w:color w:val="auto"/>
                    </w:rPr>
                    <w:t>取水水位高程（</w:t>
                  </w:r>
                  <w:r>
                    <w:rPr>
                      <w:color w:val="auto"/>
                    </w:rPr>
                    <w:t>m</w:t>
                  </w:r>
                  <w:r>
                    <w:rPr>
                      <w:rFonts w:hint="eastAsia"/>
                      <w:color w:val="auto"/>
                    </w:rPr>
                    <w:t>）</w:t>
                  </w:r>
                </w:p>
              </w:tc>
              <w:tc>
                <w:tcPr>
                  <w:tcW w:w="1233" w:type="pct"/>
                  <w:tcBorders>
                    <w:tl2br w:val="nil"/>
                    <w:tr2bl w:val="nil"/>
                  </w:tcBorders>
                  <w:vAlign w:val="center"/>
                </w:tcPr>
                <w:p w14:paraId="562D048C">
                  <w:pPr>
                    <w:pStyle w:val="16"/>
                    <w:rPr>
                      <w:color w:val="auto"/>
                    </w:rPr>
                  </w:pPr>
                  <w:r>
                    <w:rPr>
                      <w:rFonts w:hint="eastAsia"/>
                      <w:color w:val="auto"/>
                    </w:rPr>
                    <w:t>586</w:t>
                  </w:r>
                </w:p>
              </w:tc>
              <w:tc>
                <w:tcPr>
                  <w:tcW w:w="1137" w:type="pct"/>
                  <w:tcBorders>
                    <w:tl2br w:val="nil"/>
                    <w:tr2bl w:val="nil"/>
                  </w:tcBorders>
                  <w:vAlign w:val="center"/>
                </w:tcPr>
                <w:p w14:paraId="181464CD">
                  <w:pPr>
                    <w:pStyle w:val="16"/>
                    <w:rPr>
                      <w:color w:val="auto"/>
                    </w:rPr>
                  </w:pPr>
                  <w:r>
                    <w:rPr>
                      <w:color w:val="auto"/>
                    </w:rPr>
                    <w:t>655.5</w:t>
                  </w:r>
                </w:p>
              </w:tc>
              <w:tc>
                <w:tcPr>
                  <w:tcW w:w="1137" w:type="pct"/>
                  <w:tcBorders>
                    <w:tl2br w:val="nil"/>
                    <w:tr2bl w:val="nil"/>
                  </w:tcBorders>
                  <w:vAlign w:val="center"/>
                </w:tcPr>
                <w:p w14:paraId="616BBC33">
                  <w:pPr>
                    <w:pStyle w:val="16"/>
                    <w:rPr>
                      <w:color w:val="auto"/>
                    </w:rPr>
                  </w:pPr>
                  <w:r>
                    <w:rPr>
                      <w:color w:val="auto"/>
                    </w:rPr>
                    <w:t>778</w:t>
                  </w:r>
                </w:p>
              </w:tc>
            </w:tr>
            <w:tr w14:paraId="11CBFF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4BB0FB22">
                  <w:pPr>
                    <w:pStyle w:val="16"/>
                    <w:rPr>
                      <w:color w:val="auto"/>
                    </w:rPr>
                  </w:pPr>
                  <w:r>
                    <w:rPr>
                      <w:rFonts w:hint="eastAsia"/>
                      <w:color w:val="auto"/>
                    </w:rPr>
                    <w:t>提水水位高程（</w:t>
                  </w:r>
                  <w:r>
                    <w:rPr>
                      <w:color w:val="auto"/>
                    </w:rPr>
                    <w:t>m</w:t>
                  </w:r>
                  <w:r>
                    <w:rPr>
                      <w:rFonts w:hint="eastAsia"/>
                      <w:color w:val="auto"/>
                    </w:rPr>
                    <w:t>）</w:t>
                  </w:r>
                </w:p>
              </w:tc>
              <w:tc>
                <w:tcPr>
                  <w:tcW w:w="1233" w:type="pct"/>
                  <w:tcBorders>
                    <w:tl2br w:val="nil"/>
                    <w:tr2bl w:val="nil"/>
                  </w:tcBorders>
                  <w:vAlign w:val="center"/>
                </w:tcPr>
                <w:p w14:paraId="5F9F2948">
                  <w:pPr>
                    <w:pStyle w:val="16"/>
                    <w:rPr>
                      <w:color w:val="auto"/>
                    </w:rPr>
                  </w:pPr>
                  <w:r>
                    <w:rPr>
                      <w:rFonts w:hint="eastAsia"/>
                      <w:color w:val="auto"/>
                    </w:rPr>
                    <w:t>601.8</w:t>
                  </w:r>
                </w:p>
              </w:tc>
              <w:tc>
                <w:tcPr>
                  <w:tcW w:w="1137" w:type="pct"/>
                  <w:tcBorders>
                    <w:tl2br w:val="nil"/>
                    <w:tr2bl w:val="nil"/>
                  </w:tcBorders>
                  <w:vAlign w:val="center"/>
                </w:tcPr>
                <w:p w14:paraId="77FF9881">
                  <w:pPr>
                    <w:pStyle w:val="16"/>
                    <w:rPr>
                      <w:color w:val="auto"/>
                    </w:rPr>
                  </w:pPr>
                  <w:r>
                    <w:rPr>
                      <w:color w:val="auto"/>
                    </w:rPr>
                    <w:t>668.5</w:t>
                  </w:r>
                </w:p>
              </w:tc>
              <w:tc>
                <w:tcPr>
                  <w:tcW w:w="1137" w:type="pct"/>
                  <w:tcBorders>
                    <w:tl2br w:val="nil"/>
                    <w:tr2bl w:val="nil"/>
                  </w:tcBorders>
                  <w:vAlign w:val="center"/>
                </w:tcPr>
                <w:p w14:paraId="238A758A">
                  <w:pPr>
                    <w:pStyle w:val="16"/>
                    <w:rPr>
                      <w:color w:val="auto"/>
                    </w:rPr>
                  </w:pPr>
                  <w:r>
                    <w:rPr>
                      <w:color w:val="auto"/>
                    </w:rPr>
                    <w:t>805</w:t>
                  </w:r>
                </w:p>
              </w:tc>
            </w:tr>
            <w:tr w14:paraId="5DC03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94" w:type="pct"/>
                  <w:tcBorders>
                    <w:tl2br w:val="nil"/>
                    <w:tr2bl w:val="nil"/>
                  </w:tcBorders>
                  <w:vAlign w:val="center"/>
                </w:tcPr>
                <w:p w14:paraId="5A16DA6C">
                  <w:pPr>
                    <w:pStyle w:val="16"/>
                    <w:rPr>
                      <w:color w:val="auto"/>
                    </w:rPr>
                  </w:pPr>
                  <w:r>
                    <w:rPr>
                      <w:rFonts w:hint="eastAsia"/>
                      <w:color w:val="auto"/>
                    </w:rPr>
                    <w:t>管路水损（</w:t>
                  </w:r>
                  <w:r>
                    <w:rPr>
                      <w:color w:val="auto"/>
                    </w:rPr>
                    <w:t>m</w:t>
                  </w:r>
                  <w:r>
                    <w:rPr>
                      <w:rFonts w:hint="eastAsia"/>
                      <w:color w:val="auto"/>
                    </w:rPr>
                    <w:t>）</w:t>
                  </w:r>
                </w:p>
              </w:tc>
              <w:tc>
                <w:tcPr>
                  <w:tcW w:w="1233" w:type="pct"/>
                  <w:tcBorders>
                    <w:tl2br w:val="nil"/>
                    <w:tr2bl w:val="nil"/>
                  </w:tcBorders>
                  <w:vAlign w:val="center"/>
                </w:tcPr>
                <w:p w14:paraId="39C64F28">
                  <w:pPr>
                    <w:pStyle w:val="16"/>
                    <w:rPr>
                      <w:color w:val="auto"/>
                    </w:rPr>
                  </w:pPr>
                  <w:r>
                    <w:rPr>
                      <w:rFonts w:hint="eastAsia"/>
                      <w:color w:val="auto"/>
                    </w:rPr>
                    <w:t>4.89</w:t>
                  </w:r>
                </w:p>
              </w:tc>
              <w:tc>
                <w:tcPr>
                  <w:tcW w:w="1137" w:type="pct"/>
                  <w:tcBorders>
                    <w:tl2br w:val="nil"/>
                    <w:tr2bl w:val="nil"/>
                  </w:tcBorders>
                  <w:vAlign w:val="center"/>
                </w:tcPr>
                <w:p w14:paraId="07D776EB">
                  <w:pPr>
                    <w:pStyle w:val="16"/>
                    <w:rPr>
                      <w:color w:val="auto"/>
                    </w:rPr>
                  </w:pPr>
                  <w:r>
                    <w:rPr>
                      <w:color w:val="auto"/>
                    </w:rPr>
                    <w:t>3.05</w:t>
                  </w:r>
                </w:p>
              </w:tc>
              <w:tc>
                <w:tcPr>
                  <w:tcW w:w="1137" w:type="pct"/>
                  <w:tcBorders>
                    <w:tl2br w:val="nil"/>
                    <w:tr2bl w:val="nil"/>
                  </w:tcBorders>
                  <w:vAlign w:val="center"/>
                </w:tcPr>
                <w:p w14:paraId="6FF9D07D">
                  <w:pPr>
                    <w:pStyle w:val="16"/>
                    <w:rPr>
                      <w:color w:val="auto"/>
                    </w:rPr>
                  </w:pPr>
                  <w:r>
                    <w:rPr>
                      <w:color w:val="auto"/>
                    </w:rPr>
                    <w:t>2.03</w:t>
                  </w:r>
                </w:p>
              </w:tc>
            </w:tr>
          </w:tbl>
          <w:p w14:paraId="1CF63316">
            <w:pPr>
              <w:ind w:firstLine="480"/>
              <w:rPr>
                <w:color w:val="auto"/>
              </w:rPr>
            </w:pPr>
          </w:p>
          <w:p w14:paraId="3130A51A">
            <w:pPr>
              <w:ind w:firstLine="480"/>
              <w:rPr>
                <w:color w:val="auto"/>
              </w:rPr>
            </w:pPr>
            <w:r>
              <w:rPr>
                <w:rFonts w:hint="eastAsia"/>
                <w:color w:val="auto"/>
              </w:rPr>
              <w:t>（2）</w:t>
            </w:r>
            <w:r>
              <w:rPr>
                <w:color w:val="auto"/>
              </w:rPr>
              <w:t>输配水工程</w:t>
            </w:r>
          </w:p>
          <w:p w14:paraId="323AA486">
            <w:pPr>
              <w:ind w:firstLine="480"/>
              <w:rPr>
                <w:color w:val="auto"/>
              </w:rPr>
            </w:pPr>
            <w:r>
              <w:rPr>
                <w:color w:val="auto"/>
              </w:rPr>
              <w:t>本次王家河水库片区</w:t>
            </w:r>
            <w:r>
              <w:rPr>
                <w:rFonts w:hint="eastAsia"/>
                <w:color w:val="auto"/>
              </w:rPr>
              <w:t>需设置两级加压泵站。</w:t>
            </w:r>
            <w:r>
              <w:rPr>
                <w:color w:val="auto"/>
              </w:rPr>
              <w:t>一级加压泵站设置与铁佛水厂内，一级加压泵房尺寸为11.6m</w:t>
            </w:r>
            <w:r>
              <w:rPr>
                <w:rFonts w:hint="eastAsia"/>
                <w:color w:val="auto"/>
              </w:rPr>
              <w:t>×</w:t>
            </w:r>
            <w:r>
              <w:rPr>
                <w:color w:val="auto"/>
              </w:rPr>
              <w:t>6.2m，结构为框架结构，设计提水规模为2100m</w:t>
            </w:r>
            <w:r>
              <w:rPr>
                <w:rFonts w:hint="eastAsia"/>
                <w:color w:val="auto"/>
                <w:vertAlign w:val="superscript"/>
              </w:rPr>
              <w:t>3</w:t>
            </w:r>
            <w:r>
              <w:rPr>
                <w:color w:val="auto"/>
              </w:rPr>
              <w:t>/d，选用水泵为卧式离心泵，流量88.78m</w:t>
            </w:r>
            <w:r>
              <w:rPr>
                <w:color w:val="auto"/>
                <w:vertAlign w:val="superscript"/>
              </w:rPr>
              <w:t>3</w:t>
            </w:r>
            <w:r>
              <w:rPr>
                <w:color w:val="auto"/>
              </w:rPr>
              <w:t>/h，扬程225m，转速2950，效率72%，气蚀量4.2m，功率90kw，1备1用。</w:t>
            </w:r>
          </w:p>
          <w:p w14:paraId="0EC66680">
            <w:pPr>
              <w:ind w:firstLine="480"/>
              <w:rPr>
                <w:color w:val="auto"/>
              </w:rPr>
            </w:pPr>
            <w:r>
              <w:rPr>
                <w:color w:val="auto"/>
              </w:rPr>
              <w:t>二级加压泵站设置补巴石村四社S201公路旁，二级加压泵房尺寸为20.15m</w:t>
            </w:r>
            <w:r>
              <w:rPr>
                <w:rFonts w:hint="eastAsia"/>
                <w:color w:val="auto"/>
              </w:rPr>
              <w:t>×</w:t>
            </w:r>
            <w:r>
              <w:rPr>
                <w:color w:val="auto"/>
              </w:rPr>
              <w:t>6.45m，结构为框架结构，设计提水规模为1930m</w:t>
            </w:r>
            <w:r>
              <w:rPr>
                <w:rFonts w:hint="eastAsia"/>
                <w:color w:val="auto"/>
                <w:vertAlign w:val="superscript"/>
              </w:rPr>
              <w:t>3</w:t>
            </w:r>
            <w:r>
              <w:rPr>
                <w:color w:val="auto"/>
              </w:rPr>
              <w:t>/d，选用水泵为卧式离心泵，流量80.5m</w:t>
            </w:r>
            <w:r>
              <w:rPr>
                <w:color w:val="auto"/>
                <w:vertAlign w:val="superscript"/>
              </w:rPr>
              <w:t>3</w:t>
            </w:r>
            <w:r>
              <w:rPr>
                <w:color w:val="auto"/>
              </w:rPr>
              <w:t>/h，扬程225m，转速2950，效率72%，气蚀量4.2m，功率90kw，1备1用。</w:t>
            </w:r>
          </w:p>
          <w:p w14:paraId="6C56EA5B">
            <w:pPr>
              <w:ind w:firstLine="480"/>
              <w:rPr>
                <w:color w:val="auto"/>
              </w:rPr>
            </w:pPr>
            <w:r>
              <w:rPr>
                <w:color w:val="auto"/>
              </w:rPr>
              <w:t>2座加压泵站选取水泵型号为：D85-45×5，90KW/2P多级泵。</w:t>
            </w:r>
          </w:p>
          <w:p w14:paraId="5D698531">
            <w:pPr>
              <w:ind w:firstLine="480"/>
              <w:rPr>
                <w:color w:val="auto"/>
              </w:rPr>
            </w:pPr>
            <w:r>
              <w:rPr>
                <w:rFonts w:hint="eastAsia"/>
                <w:color w:val="auto"/>
              </w:rPr>
              <w:t>本工程包括5座泵站（加压</w:t>
            </w:r>
            <w:r>
              <w:rPr>
                <w:color w:val="auto"/>
              </w:rPr>
              <w:t>泵房</w:t>
            </w:r>
            <w:r>
              <w:rPr>
                <w:rFonts w:hint="eastAsia"/>
                <w:color w:val="auto"/>
              </w:rPr>
              <w:t>2</w:t>
            </w:r>
            <w:r>
              <w:rPr>
                <w:color w:val="auto"/>
              </w:rPr>
              <w:t>座，</w:t>
            </w:r>
            <w:r>
              <w:rPr>
                <w:rFonts w:hint="eastAsia"/>
                <w:color w:val="auto"/>
              </w:rPr>
              <w:t>浮筒取水泵站3</w:t>
            </w:r>
            <w:r>
              <w:rPr>
                <w:color w:val="auto"/>
              </w:rPr>
              <w:t>座</w:t>
            </w:r>
            <w:r>
              <w:rPr>
                <w:rFonts w:hint="eastAsia"/>
                <w:color w:val="auto"/>
              </w:rPr>
              <w:t>），泵站的用电</w:t>
            </w:r>
            <w:r>
              <w:rPr>
                <w:color w:val="auto"/>
              </w:rPr>
              <w:t>负荷等参数见</w:t>
            </w:r>
            <w:r>
              <w:rPr>
                <w:rFonts w:hint="eastAsia"/>
                <w:color w:val="auto"/>
              </w:rPr>
              <w:t>下表</w:t>
            </w:r>
            <w:r>
              <w:rPr>
                <w:color w:val="auto"/>
              </w:rPr>
              <w:t>。</w:t>
            </w:r>
          </w:p>
          <w:p w14:paraId="34278470">
            <w:pPr>
              <w:pStyle w:val="17"/>
              <w:rPr>
                <w:rFonts w:hint="default"/>
                <w:color w:val="auto"/>
              </w:rPr>
            </w:pPr>
            <w:r>
              <w:rPr>
                <w:color w:val="auto"/>
              </w:rPr>
              <w:t>表2-4 加压泵站用电负荷统计表</w:t>
            </w:r>
          </w:p>
          <w:tbl>
            <w:tblPr>
              <w:tblStyle w:val="1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2"/>
              <w:gridCol w:w="1122"/>
              <w:gridCol w:w="988"/>
              <w:gridCol w:w="1079"/>
              <w:gridCol w:w="1324"/>
            </w:tblGrid>
            <w:tr w14:paraId="7BE3D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6B109C25">
                  <w:pPr>
                    <w:pStyle w:val="16"/>
                    <w:jc w:val="center"/>
                    <w:rPr>
                      <w:color w:val="auto"/>
                    </w:rPr>
                  </w:pPr>
                  <w:r>
                    <w:rPr>
                      <w:rFonts w:hint="eastAsia"/>
                      <w:color w:val="auto"/>
                    </w:rPr>
                    <w:t>序号</w:t>
                  </w:r>
                </w:p>
              </w:tc>
              <w:tc>
                <w:tcPr>
                  <w:tcW w:w="1807" w:type="pct"/>
                  <w:tcBorders>
                    <w:tl2br w:val="nil"/>
                    <w:tr2bl w:val="nil"/>
                  </w:tcBorders>
                  <w:vAlign w:val="center"/>
                </w:tcPr>
                <w:p w14:paraId="77432103">
                  <w:pPr>
                    <w:pStyle w:val="16"/>
                    <w:jc w:val="center"/>
                    <w:rPr>
                      <w:color w:val="auto"/>
                    </w:rPr>
                  </w:pPr>
                  <w:r>
                    <w:rPr>
                      <w:rFonts w:hint="eastAsia"/>
                      <w:color w:val="auto"/>
                    </w:rPr>
                    <w:t>站</w:t>
                  </w:r>
                  <w:r>
                    <w:rPr>
                      <w:color w:val="auto"/>
                    </w:rPr>
                    <w:t>名称</w:t>
                  </w:r>
                </w:p>
              </w:tc>
              <w:tc>
                <w:tcPr>
                  <w:tcW w:w="687" w:type="pct"/>
                  <w:tcBorders>
                    <w:tl2br w:val="nil"/>
                    <w:tr2bl w:val="nil"/>
                  </w:tcBorders>
                  <w:vAlign w:val="center"/>
                </w:tcPr>
                <w:p w14:paraId="65566DBE">
                  <w:pPr>
                    <w:pStyle w:val="16"/>
                    <w:jc w:val="center"/>
                    <w:rPr>
                      <w:color w:val="auto"/>
                    </w:rPr>
                  </w:pPr>
                  <w:r>
                    <w:rPr>
                      <w:color w:val="auto"/>
                    </w:rPr>
                    <w:t>水泵安装台数</w:t>
                  </w:r>
                </w:p>
              </w:tc>
              <w:tc>
                <w:tcPr>
                  <w:tcW w:w="605" w:type="pct"/>
                  <w:tcBorders>
                    <w:tl2br w:val="nil"/>
                    <w:tr2bl w:val="nil"/>
                  </w:tcBorders>
                  <w:vAlign w:val="center"/>
                </w:tcPr>
                <w:p w14:paraId="3FBD0364">
                  <w:pPr>
                    <w:pStyle w:val="16"/>
                    <w:jc w:val="center"/>
                    <w:rPr>
                      <w:color w:val="auto"/>
                    </w:rPr>
                  </w:pPr>
                  <w:r>
                    <w:rPr>
                      <w:rFonts w:hint="eastAsia"/>
                      <w:color w:val="auto"/>
                    </w:rPr>
                    <w:t>单台水泵功率</w:t>
                  </w:r>
                </w:p>
              </w:tc>
              <w:tc>
                <w:tcPr>
                  <w:tcW w:w="661" w:type="pct"/>
                  <w:tcBorders>
                    <w:tl2br w:val="nil"/>
                    <w:tr2bl w:val="nil"/>
                  </w:tcBorders>
                  <w:vAlign w:val="center"/>
                </w:tcPr>
                <w:p w14:paraId="5137E659">
                  <w:pPr>
                    <w:pStyle w:val="16"/>
                    <w:jc w:val="center"/>
                    <w:rPr>
                      <w:color w:val="auto"/>
                    </w:rPr>
                  </w:pPr>
                  <w:r>
                    <w:rPr>
                      <w:rFonts w:hint="eastAsia"/>
                      <w:color w:val="auto"/>
                    </w:rPr>
                    <w:t>水泵同时使用率</w:t>
                  </w:r>
                </w:p>
              </w:tc>
              <w:tc>
                <w:tcPr>
                  <w:tcW w:w="811" w:type="pct"/>
                  <w:tcBorders>
                    <w:tl2br w:val="nil"/>
                    <w:tr2bl w:val="nil"/>
                  </w:tcBorders>
                  <w:vAlign w:val="center"/>
                </w:tcPr>
                <w:p w14:paraId="688CC80F">
                  <w:pPr>
                    <w:pStyle w:val="16"/>
                    <w:jc w:val="center"/>
                    <w:rPr>
                      <w:color w:val="auto"/>
                    </w:rPr>
                  </w:pPr>
                  <w:r>
                    <w:rPr>
                      <w:rFonts w:hint="eastAsia"/>
                      <w:color w:val="auto"/>
                    </w:rPr>
                    <w:t>设计总负荷（</w:t>
                  </w:r>
                  <w:r>
                    <w:rPr>
                      <w:color w:val="auto"/>
                    </w:rPr>
                    <w:t>kw/kVA</w:t>
                  </w:r>
                  <w:r>
                    <w:rPr>
                      <w:rFonts w:hint="eastAsia"/>
                      <w:color w:val="auto"/>
                    </w:rPr>
                    <w:t>）</w:t>
                  </w:r>
                </w:p>
              </w:tc>
            </w:tr>
            <w:tr w14:paraId="42AF8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6FDEF2FC">
                  <w:pPr>
                    <w:pStyle w:val="16"/>
                    <w:jc w:val="center"/>
                    <w:rPr>
                      <w:color w:val="auto"/>
                    </w:rPr>
                  </w:pPr>
                  <w:r>
                    <w:rPr>
                      <w:rFonts w:hint="eastAsia"/>
                      <w:color w:val="auto"/>
                    </w:rPr>
                    <w:t>1</w:t>
                  </w:r>
                </w:p>
              </w:tc>
              <w:tc>
                <w:tcPr>
                  <w:tcW w:w="1807" w:type="pct"/>
                  <w:tcBorders>
                    <w:tl2br w:val="nil"/>
                    <w:tr2bl w:val="nil"/>
                  </w:tcBorders>
                  <w:vAlign w:val="center"/>
                </w:tcPr>
                <w:p w14:paraId="571CAD4C">
                  <w:pPr>
                    <w:pStyle w:val="16"/>
                    <w:rPr>
                      <w:color w:val="auto"/>
                    </w:rPr>
                  </w:pPr>
                  <w:r>
                    <w:rPr>
                      <w:rFonts w:hint="eastAsia"/>
                      <w:color w:val="auto"/>
                    </w:rPr>
                    <w:t>流里河水库片区取水设施</w:t>
                  </w:r>
                </w:p>
              </w:tc>
              <w:tc>
                <w:tcPr>
                  <w:tcW w:w="687" w:type="pct"/>
                  <w:tcBorders>
                    <w:tl2br w:val="nil"/>
                    <w:tr2bl w:val="nil"/>
                  </w:tcBorders>
                  <w:vAlign w:val="center"/>
                </w:tcPr>
                <w:p w14:paraId="02313147">
                  <w:pPr>
                    <w:pStyle w:val="16"/>
                    <w:jc w:val="center"/>
                    <w:rPr>
                      <w:color w:val="auto"/>
                    </w:rPr>
                  </w:pPr>
                  <w:r>
                    <w:rPr>
                      <w:rFonts w:hint="eastAsia"/>
                      <w:color w:val="auto"/>
                    </w:rPr>
                    <w:t>2</w:t>
                  </w:r>
                </w:p>
              </w:tc>
              <w:tc>
                <w:tcPr>
                  <w:tcW w:w="605" w:type="pct"/>
                  <w:tcBorders>
                    <w:tl2br w:val="nil"/>
                    <w:tr2bl w:val="nil"/>
                  </w:tcBorders>
                  <w:vAlign w:val="center"/>
                </w:tcPr>
                <w:p w14:paraId="343C1D27">
                  <w:pPr>
                    <w:pStyle w:val="16"/>
                    <w:jc w:val="center"/>
                    <w:rPr>
                      <w:color w:val="auto"/>
                    </w:rPr>
                  </w:pPr>
                  <w:r>
                    <w:rPr>
                      <w:rFonts w:hint="eastAsia"/>
                      <w:color w:val="auto"/>
                    </w:rPr>
                    <w:t>45</w:t>
                  </w:r>
                </w:p>
              </w:tc>
              <w:tc>
                <w:tcPr>
                  <w:tcW w:w="661" w:type="pct"/>
                  <w:tcBorders>
                    <w:tl2br w:val="nil"/>
                    <w:tr2bl w:val="nil"/>
                  </w:tcBorders>
                  <w:vAlign w:val="center"/>
                </w:tcPr>
                <w:p w14:paraId="01372908">
                  <w:pPr>
                    <w:pStyle w:val="16"/>
                    <w:jc w:val="center"/>
                    <w:rPr>
                      <w:color w:val="auto"/>
                    </w:rPr>
                  </w:pPr>
                  <w:r>
                    <w:rPr>
                      <w:rFonts w:hint="eastAsia"/>
                      <w:color w:val="auto"/>
                    </w:rPr>
                    <w:t>0.5</w:t>
                  </w:r>
                </w:p>
              </w:tc>
              <w:tc>
                <w:tcPr>
                  <w:tcW w:w="811" w:type="pct"/>
                  <w:tcBorders>
                    <w:tl2br w:val="nil"/>
                    <w:tr2bl w:val="nil"/>
                  </w:tcBorders>
                  <w:vAlign w:val="center"/>
                </w:tcPr>
                <w:p w14:paraId="3C2DC371">
                  <w:pPr>
                    <w:pStyle w:val="16"/>
                    <w:jc w:val="center"/>
                    <w:rPr>
                      <w:color w:val="auto"/>
                    </w:rPr>
                  </w:pPr>
                  <w:r>
                    <w:rPr>
                      <w:rFonts w:hint="eastAsia"/>
                      <w:color w:val="auto"/>
                    </w:rPr>
                    <w:t>45</w:t>
                  </w:r>
                </w:p>
              </w:tc>
            </w:tr>
            <w:tr w14:paraId="76740E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63E6C9DF">
                  <w:pPr>
                    <w:pStyle w:val="16"/>
                    <w:jc w:val="center"/>
                    <w:rPr>
                      <w:color w:val="auto"/>
                    </w:rPr>
                  </w:pPr>
                  <w:r>
                    <w:rPr>
                      <w:rFonts w:hint="eastAsia"/>
                      <w:color w:val="auto"/>
                    </w:rPr>
                    <w:t>2</w:t>
                  </w:r>
                </w:p>
              </w:tc>
              <w:tc>
                <w:tcPr>
                  <w:tcW w:w="1807" w:type="pct"/>
                  <w:tcBorders>
                    <w:tl2br w:val="nil"/>
                    <w:tr2bl w:val="nil"/>
                  </w:tcBorders>
                  <w:vAlign w:val="center"/>
                </w:tcPr>
                <w:p w14:paraId="27DB5B3C">
                  <w:pPr>
                    <w:pStyle w:val="16"/>
                    <w:rPr>
                      <w:color w:val="auto"/>
                    </w:rPr>
                  </w:pPr>
                  <w:r>
                    <w:rPr>
                      <w:rFonts w:hint="eastAsia"/>
                      <w:color w:val="auto"/>
                    </w:rPr>
                    <w:t>澌溪沟水库片区取水设施</w:t>
                  </w:r>
                </w:p>
              </w:tc>
              <w:tc>
                <w:tcPr>
                  <w:tcW w:w="687" w:type="pct"/>
                  <w:tcBorders>
                    <w:tl2br w:val="nil"/>
                    <w:tr2bl w:val="nil"/>
                  </w:tcBorders>
                  <w:vAlign w:val="center"/>
                </w:tcPr>
                <w:p w14:paraId="2547E3DE">
                  <w:pPr>
                    <w:pStyle w:val="16"/>
                    <w:jc w:val="center"/>
                    <w:rPr>
                      <w:color w:val="auto"/>
                    </w:rPr>
                  </w:pPr>
                  <w:r>
                    <w:rPr>
                      <w:rFonts w:hint="eastAsia"/>
                      <w:color w:val="auto"/>
                    </w:rPr>
                    <w:t>2</w:t>
                  </w:r>
                </w:p>
              </w:tc>
              <w:tc>
                <w:tcPr>
                  <w:tcW w:w="605" w:type="pct"/>
                  <w:tcBorders>
                    <w:tl2br w:val="nil"/>
                    <w:tr2bl w:val="nil"/>
                  </w:tcBorders>
                  <w:vAlign w:val="center"/>
                </w:tcPr>
                <w:p w14:paraId="51FD71AC">
                  <w:pPr>
                    <w:pStyle w:val="16"/>
                    <w:jc w:val="center"/>
                    <w:rPr>
                      <w:color w:val="auto"/>
                    </w:rPr>
                  </w:pPr>
                  <w:r>
                    <w:rPr>
                      <w:rFonts w:hint="eastAsia"/>
                      <w:color w:val="auto"/>
                    </w:rPr>
                    <w:t>55</w:t>
                  </w:r>
                </w:p>
              </w:tc>
              <w:tc>
                <w:tcPr>
                  <w:tcW w:w="661" w:type="pct"/>
                  <w:tcBorders>
                    <w:tl2br w:val="nil"/>
                    <w:tr2bl w:val="nil"/>
                  </w:tcBorders>
                  <w:vAlign w:val="center"/>
                </w:tcPr>
                <w:p w14:paraId="02FEABE7">
                  <w:pPr>
                    <w:pStyle w:val="16"/>
                    <w:jc w:val="center"/>
                    <w:rPr>
                      <w:color w:val="auto"/>
                    </w:rPr>
                  </w:pPr>
                  <w:r>
                    <w:rPr>
                      <w:rFonts w:hint="eastAsia"/>
                      <w:color w:val="auto"/>
                    </w:rPr>
                    <w:t>0.5</w:t>
                  </w:r>
                </w:p>
              </w:tc>
              <w:tc>
                <w:tcPr>
                  <w:tcW w:w="811" w:type="pct"/>
                  <w:tcBorders>
                    <w:tl2br w:val="nil"/>
                    <w:tr2bl w:val="nil"/>
                  </w:tcBorders>
                  <w:vAlign w:val="center"/>
                </w:tcPr>
                <w:p w14:paraId="7F157D47">
                  <w:pPr>
                    <w:pStyle w:val="16"/>
                    <w:jc w:val="center"/>
                    <w:rPr>
                      <w:color w:val="auto"/>
                    </w:rPr>
                  </w:pPr>
                  <w:r>
                    <w:rPr>
                      <w:rFonts w:hint="eastAsia"/>
                      <w:color w:val="auto"/>
                    </w:rPr>
                    <w:t>55</w:t>
                  </w:r>
                </w:p>
              </w:tc>
            </w:tr>
            <w:tr w14:paraId="7B408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5D4E9972">
                  <w:pPr>
                    <w:pStyle w:val="16"/>
                    <w:jc w:val="center"/>
                    <w:rPr>
                      <w:color w:val="auto"/>
                    </w:rPr>
                  </w:pPr>
                  <w:r>
                    <w:rPr>
                      <w:rFonts w:hint="eastAsia"/>
                      <w:color w:val="auto"/>
                    </w:rPr>
                    <w:t>3</w:t>
                  </w:r>
                </w:p>
              </w:tc>
              <w:tc>
                <w:tcPr>
                  <w:tcW w:w="1807" w:type="pct"/>
                  <w:tcBorders>
                    <w:tl2br w:val="nil"/>
                    <w:tr2bl w:val="nil"/>
                  </w:tcBorders>
                  <w:vAlign w:val="center"/>
                </w:tcPr>
                <w:p w14:paraId="2B6190B1">
                  <w:pPr>
                    <w:pStyle w:val="16"/>
                    <w:rPr>
                      <w:color w:val="auto"/>
                    </w:rPr>
                  </w:pPr>
                  <w:r>
                    <w:rPr>
                      <w:rFonts w:hint="eastAsia"/>
                      <w:color w:val="auto"/>
                    </w:rPr>
                    <w:t>王家河水库片区取水设施</w:t>
                  </w:r>
                </w:p>
              </w:tc>
              <w:tc>
                <w:tcPr>
                  <w:tcW w:w="687" w:type="pct"/>
                  <w:tcBorders>
                    <w:tl2br w:val="nil"/>
                    <w:tr2bl w:val="nil"/>
                  </w:tcBorders>
                  <w:vAlign w:val="center"/>
                </w:tcPr>
                <w:p w14:paraId="58F8ADD1">
                  <w:pPr>
                    <w:pStyle w:val="16"/>
                    <w:jc w:val="center"/>
                    <w:rPr>
                      <w:color w:val="auto"/>
                    </w:rPr>
                  </w:pPr>
                  <w:r>
                    <w:rPr>
                      <w:rFonts w:hint="eastAsia"/>
                      <w:color w:val="auto"/>
                    </w:rPr>
                    <w:t>2</w:t>
                  </w:r>
                </w:p>
              </w:tc>
              <w:tc>
                <w:tcPr>
                  <w:tcW w:w="605" w:type="pct"/>
                  <w:tcBorders>
                    <w:tl2br w:val="nil"/>
                    <w:tr2bl w:val="nil"/>
                  </w:tcBorders>
                  <w:vAlign w:val="center"/>
                </w:tcPr>
                <w:p w14:paraId="57310AC2">
                  <w:pPr>
                    <w:pStyle w:val="16"/>
                    <w:jc w:val="center"/>
                    <w:rPr>
                      <w:color w:val="auto"/>
                    </w:rPr>
                  </w:pPr>
                  <w:r>
                    <w:rPr>
                      <w:rFonts w:hint="eastAsia"/>
                      <w:color w:val="auto"/>
                    </w:rPr>
                    <w:t>45</w:t>
                  </w:r>
                </w:p>
              </w:tc>
              <w:tc>
                <w:tcPr>
                  <w:tcW w:w="661" w:type="pct"/>
                  <w:tcBorders>
                    <w:tl2br w:val="nil"/>
                    <w:tr2bl w:val="nil"/>
                  </w:tcBorders>
                  <w:vAlign w:val="center"/>
                </w:tcPr>
                <w:p w14:paraId="0F769A88">
                  <w:pPr>
                    <w:pStyle w:val="16"/>
                    <w:jc w:val="center"/>
                    <w:rPr>
                      <w:color w:val="auto"/>
                    </w:rPr>
                  </w:pPr>
                  <w:r>
                    <w:rPr>
                      <w:rFonts w:hint="eastAsia"/>
                      <w:color w:val="auto"/>
                    </w:rPr>
                    <w:t>0.5</w:t>
                  </w:r>
                </w:p>
              </w:tc>
              <w:tc>
                <w:tcPr>
                  <w:tcW w:w="811" w:type="pct"/>
                  <w:tcBorders>
                    <w:tl2br w:val="nil"/>
                    <w:tr2bl w:val="nil"/>
                  </w:tcBorders>
                  <w:vAlign w:val="center"/>
                </w:tcPr>
                <w:p w14:paraId="54131604">
                  <w:pPr>
                    <w:pStyle w:val="16"/>
                    <w:jc w:val="center"/>
                    <w:rPr>
                      <w:color w:val="auto"/>
                    </w:rPr>
                  </w:pPr>
                  <w:r>
                    <w:rPr>
                      <w:rFonts w:hint="eastAsia"/>
                      <w:color w:val="auto"/>
                    </w:rPr>
                    <w:t>45</w:t>
                  </w:r>
                </w:p>
              </w:tc>
            </w:tr>
            <w:tr w14:paraId="26B73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75075C3B">
                  <w:pPr>
                    <w:pStyle w:val="16"/>
                    <w:jc w:val="center"/>
                    <w:rPr>
                      <w:color w:val="auto"/>
                    </w:rPr>
                  </w:pPr>
                  <w:r>
                    <w:rPr>
                      <w:rFonts w:hint="eastAsia"/>
                      <w:color w:val="auto"/>
                    </w:rPr>
                    <w:t>4</w:t>
                  </w:r>
                </w:p>
              </w:tc>
              <w:tc>
                <w:tcPr>
                  <w:tcW w:w="1807" w:type="pct"/>
                  <w:tcBorders>
                    <w:tl2br w:val="nil"/>
                    <w:tr2bl w:val="nil"/>
                  </w:tcBorders>
                  <w:vAlign w:val="center"/>
                </w:tcPr>
                <w:p w14:paraId="366A370D">
                  <w:pPr>
                    <w:pStyle w:val="16"/>
                    <w:rPr>
                      <w:color w:val="auto"/>
                    </w:rPr>
                  </w:pPr>
                  <w:r>
                    <w:rPr>
                      <w:rFonts w:hint="eastAsia"/>
                      <w:color w:val="auto"/>
                    </w:rPr>
                    <w:t>一级加压泵站</w:t>
                  </w:r>
                </w:p>
              </w:tc>
              <w:tc>
                <w:tcPr>
                  <w:tcW w:w="687" w:type="pct"/>
                  <w:tcBorders>
                    <w:tl2br w:val="nil"/>
                    <w:tr2bl w:val="nil"/>
                  </w:tcBorders>
                  <w:vAlign w:val="center"/>
                </w:tcPr>
                <w:p w14:paraId="23CEABB1">
                  <w:pPr>
                    <w:pStyle w:val="16"/>
                    <w:jc w:val="center"/>
                    <w:rPr>
                      <w:color w:val="auto"/>
                    </w:rPr>
                  </w:pPr>
                  <w:r>
                    <w:rPr>
                      <w:rFonts w:hint="eastAsia"/>
                      <w:color w:val="auto"/>
                    </w:rPr>
                    <w:t>2</w:t>
                  </w:r>
                </w:p>
              </w:tc>
              <w:tc>
                <w:tcPr>
                  <w:tcW w:w="605" w:type="pct"/>
                  <w:tcBorders>
                    <w:tl2br w:val="nil"/>
                    <w:tr2bl w:val="nil"/>
                  </w:tcBorders>
                  <w:vAlign w:val="center"/>
                </w:tcPr>
                <w:p w14:paraId="4A9D6118">
                  <w:pPr>
                    <w:pStyle w:val="16"/>
                    <w:jc w:val="center"/>
                    <w:rPr>
                      <w:color w:val="auto"/>
                    </w:rPr>
                  </w:pPr>
                  <w:r>
                    <w:rPr>
                      <w:rFonts w:hint="eastAsia"/>
                      <w:color w:val="auto"/>
                    </w:rPr>
                    <w:t>90</w:t>
                  </w:r>
                </w:p>
              </w:tc>
              <w:tc>
                <w:tcPr>
                  <w:tcW w:w="661" w:type="pct"/>
                  <w:tcBorders>
                    <w:tl2br w:val="nil"/>
                    <w:tr2bl w:val="nil"/>
                  </w:tcBorders>
                  <w:vAlign w:val="center"/>
                </w:tcPr>
                <w:p w14:paraId="12A2AD9D">
                  <w:pPr>
                    <w:pStyle w:val="16"/>
                    <w:jc w:val="center"/>
                    <w:rPr>
                      <w:color w:val="auto"/>
                    </w:rPr>
                  </w:pPr>
                  <w:r>
                    <w:rPr>
                      <w:rFonts w:hint="eastAsia"/>
                      <w:color w:val="auto"/>
                    </w:rPr>
                    <w:t>0.5</w:t>
                  </w:r>
                </w:p>
              </w:tc>
              <w:tc>
                <w:tcPr>
                  <w:tcW w:w="811" w:type="pct"/>
                  <w:tcBorders>
                    <w:tl2br w:val="nil"/>
                    <w:tr2bl w:val="nil"/>
                  </w:tcBorders>
                  <w:vAlign w:val="center"/>
                </w:tcPr>
                <w:p w14:paraId="05EB15FD">
                  <w:pPr>
                    <w:pStyle w:val="16"/>
                    <w:jc w:val="center"/>
                    <w:rPr>
                      <w:color w:val="auto"/>
                    </w:rPr>
                  </w:pPr>
                  <w:r>
                    <w:rPr>
                      <w:rFonts w:hint="eastAsia"/>
                      <w:color w:val="auto"/>
                    </w:rPr>
                    <w:t>90</w:t>
                  </w:r>
                </w:p>
              </w:tc>
            </w:tr>
            <w:tr w14:paraId="48DD31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6" w:type="pct"/>
                  <w:tcBorders>
                    <w:tl2br w:val="nil"/>
                    <w:tr2bl w:val="nil"/>
                  </w:tcBorders>
                  <w:vAlign w:val="center"/>
                </w:tcPr>
                <w:p w14:paraId="5D9F3C1F">
                  <w:pPr>
                    <w:pStyle w:val="16"/>
                    <w:jc w:val="center"/>
                    <w:rPr>
                      <w:color w:val="auto"/>
                    </w:rPr>
                  </w:pPr>
                  <w:r>
                    <w:rPr>
                      <w:rFonts w:hint="eastAsia"/>
                      <w:color w:val="auto"/>
                    </w:rPr>
                    <w:t>5</w:t>
                  </w:r>
                </w:p>
              </w:tc>
              <w:tc>
                <w:tcPr>
                  <w:tcW w:w="1807" w:type="pct"/>
                  <w:tcBorders>
                    <w:tl2br w:val="nil"/>
                    <w:tr2bl w:val="nil"/>
                  </w:tcBorders>
                  <w:vAlign w:val="center"/>
                </w:tcPr>
                <w:p w14:paraId="40D24BDA">
                  <w:pPr>
                    <w:pStyle w:val="16"/>
                    <w:rPr>
                      <w:color w:val="auto"/>
                    </w:rPr>
                  </w:pPr>
                  <w:r>
                    <w:rPr>
                      <w:rFonts w:hint="eastAsia"/>
                      <w:color w:val="auto"/>
                    </w:rPr>
                    <w:t>二级加压泵站</w:t>
                  </w:r>
                </w:p>
              </w:tc>
              <w:tc>
                <w:tcPr>
                  <w:tcW w:w="687" w:type="pct"/>
                  <w:tcBorders>
                    <w:tl2br w:val="nil"/>
                    <w:tr2bl w:val="nil"/>
                  </w:tcBorders>
                  <w:vAlign w:val="center"/>
                </w:tcPr>
                <w:p w14:paraId="5EB4B4D3">
                  <w:pPr>
                    <w:pStyle w:val="16"/>
                    <w:jc w:val="center"/>
                    <w:rPr>
                      <w:color w:val="auto"/>
                    </w:rPr>
                  </w:pPr>
                  <w:r>
                    <w:rPr>
                      <w:rFonts w:hint="eastAsia"/>
                      <w:color w:val="auto"/>
                    </w:rPr>
                    <w:t>2</w:t>
                  </w:r>
                </w:p>
              </w:tc>
              <w:tc>
                <w:tcPr>
                  <w:tcW w:w="605" w:type="pct"/>
                  <w:tcBorders>
                    <w:tl2br w:val="nil"/>
                    <w:tr2bl w:val="nil"/>
                  </w:tcBorders>
                  <w:vAlign w:val="center"/>
                </w:tcPr>
                <w:p w14:paraId="5589D932">
                  <w:pPr>
                    <w:pStyle w:val="16"/>
                    <w:jc w:val="center"/>
                    <w:rPr>
                      <w:color w:val="auto"/>
                    </w:rPr>
                  </w:pPr>
                  <w:r>
                    <w:rPr>
                      <w:rFonts w:hint="eastAsia"/>
                      <w:color w:val="auto"/>
                    </w:rPr>
                    <w:t>90</w:t>
                  </w:r>
                </w:p>
              </w:tc>
              <w:tc>
                <w:tcPr>
                  <w:tcW w:w="661" w:type="pct"/>
                  <w:tcBorders>
                    <w:tl2br w:val="nil"/>
                    <w:tr2bl w:val="nil"/>
                  </w:tcBorders>
                </w:tcPr>
                <w:p w14:paraId="245E2523">
                  <w:pPr>
                    <w:pStyle w:val="16"/>
                    <w:jc w:val="center"/>
                    <w:rPr>
                      <w:color w:val="auto"/>
                    </w:rPr>
                  </w:pPr>
                  <w:r>
                    <w:rPr>
                      <w:rFonts w:hint="eastAsia"/>
                      <w:color w:val="auto"/>
                    </w:rPr>
                    <w:t>0.5</w:t>
                  </w:r>
                </w:p>
              </w:tc>
              <w:tc>
                <w:tcPr>
                  <w:tcW w:w="811" w:type="pct"/>
                  <w:tcBorders>
                    <w:tl2br w:val="nil"/>
                    <w:tr2bl w:val="nil"/>
                  </w:tcBorders>
                  <w:vAlign w:val="center"/>
                </w:tcPr>
                <w:p w14:paraId="4AC37E9D">
                  <w:pPr>
                    <w:pStyle w:val="16"/>
                    <w:jc w:val="center"/>
                    <w:rPr>
                      <w:color w:val="auto"/>
                    </w:rPr>
                  </w:pPr>
                  <w:r>
                    <w:rPr>
                      <w:rFonts w:hint="eastAsia"/>
                      <w:color w:val="auto"/>
                    </w:rPr>
                    <w:t>90</w:t>
                  </w:r>
                </w:p>
              </w:tc>
            </w:tr>
          </w:tbl>
          <w:p w14:paraId="0FE47593">
            <w:pPr>
              <w:ind w:firstLine="482"/>
              <w:rPr>
                <w:b/>
                <w:bCs/>
                <w:color w:val="auto"/>
              </w:rPr>
            </w:pPr>
          </w:p>
          <w:p w14:paraId="68B2FF54">
            <w:pPr>
              <w:ind w:firstLine="482"/>
              <w:rPr>
                <w:b/>
                <w:bCs/>
                <w:color w:val="auto"/>
              </w:rPr>
            </w:pPr>
            <w:r>
              <w:rPr>
                <w:rFonts w:hint="eastAsia"/>
                <w:b/>
                <w:bCs/>
                <w:color w:val="auto"/>
              </w:rPr>
              <w:t>6</w:t>
            </w:r>
            <w:r>
              <w:rPr>
                <w:b/>
                <w:bCs/>
                <w:color w:val="auto"/>
              </w:rPr>
              <w:t>、施工平面布置合理性分析</w:t>
            </w:r>
          </w:p>
          <w:p w14:paraId="3FAC68ED">
            <w:pPr>
              <w:ind w:firstLine="480"/>
              <w:rPr>
                <w:color w:val="auto"/>
              </w:rPr>
            </w:pPr>
            <w:r>
              <w:rPr>
                <w:rFonts w:hint="eastAsia"/>
                <w:color w:val="auto"/>
              </w:rPr>
              <w:t>（1）建筑材料来源</w:t>
            </w:r>
          </w:p>
          <w:p w14:paraId="5442269C">
            <w:pPr>
              <w:ind w:firstLine="480"/>
              <w:rPr>
                <w:color w:val="auto"/>
              </w:rPr>
            </w:pPr>
            <w:r>
              <w:rPr>
                <w:rFonts w:hint="eastAsia"/>
                <w:color w:val="auto"/>
              </w:rPr>
              <w:t>本工程所需的天然建筑材料主要为混凝土粗细骨料、砂石垫层料、块石料等，均从通江县外购，距离工程区平均运距约32km，已有道路到本工程，运输条件较好。工程所需的水泥、钢材、木材等均在通江县的相关经营部门采购供应，柴油、汽油就近选择加油站供应。</w:t>
            </w:r>
          </w:p>
          <w:p w14:paraId="08D018B3">
            <w:pPr>
              <w:ind w:firstLine="480"/>
              <w:rPr>
                <w:color w:val="auto"/>
              </w:rPr>
            </w:pPr>
            <w:r>
              <w:rPr>
                <w:rFonts w:hint="eastAsia"/>
                <w:color w:val="auto"/>
              </w:rPr>
              <w:t>工程所需的回填料对料源质量要求不高，一般的工程开挖料即可满足回填料质量要求，因此渠系线路所需的回填料考虑利用工程开挖料。</w:t>
            </w:r>
          </w:p>
          <w:p w14:paraId="4B9A4B1D">
            <w:pPr>
              <w:ind w:firstLine="480"/>
              <w:rPr>
                <w:color w:val="auto"/>
              </w:rPr>
            </w:pPr>
            <w:r>
              <w:rPr>
                <w:rFonts w:hint="eastAsia"/>
                <w:color w:val="auto"/>
              </w:rPr>
              <w:t>（2）生产生活用水</w:t>
            </w:r>
          </w:p>
          <w:p w14:paraId="794069F4">
            <w:pPr>
              <w:ind w:firstLine="480"/>
              <w:rPr>
                <w:color w:val="auto"/>
              </w:rPr>
            </w:pPr>
            <w:r>
              <w:rPr>
                <w:rFonts w:hint="eastAsia"/>
                <w:color w:val="auto"/>
              </w:rPr>
              <w:t>工程区附近的湖泊、水库、坝塘、河道、冲沟及溪流以及自来水管网可作为施工生产生活用水水源，生活用水经净化处理后满足饮用水要求后使用。</w:t>
            </w:r>
          </w:p>
          <w:p w14:paraId="372DAE5A">
            <w:pPr>
              <w:ind w:firstLine="480"/>
              <w:rPr>
                <w:color w:val="auto"/>
              </w:rPr>
            </w:pPr>
            <w:r>
              <w:rPr>
                <w:rFonts w:hint="eastAsia"/>
                <w:color w:val="auto"/>
              </w:rPr>
              <w:t>（3）施工供电</w:t>
            </w:r>
          </w:p>
          <w:p w14:paraId="6E867E25">
            <w:pPr>
              <w:ind w:firstLine="480"/>
              <w:rPr>
                <w:color w:val="auto"/>
              </w:rPr>
            </w:pPr>
            <w:r>
              <w:rPr>
                <w:rFonts w:hint="eastAsia"/>
                <w:color w:val="auto"/>
              </w:rPr>
              <w:t>施工生产生活区附近已有电网，采用10kV输电线路接引现有电网至施工变压器供电。管线工程区施工用电较为分散，全部由移动柴油机进行供电。</w:t>
            </w:r>
          </w:p>
          <w:p w14:paraId="38A24E46">
            <w:pPr>
              <w:ind w:firstLine="480"/>
              <w:rPr>
                <w:color w:val="auto"/>
              </w:rPr>
            </w:pPr>
            <w:r>
              <w:rPr>
                <w:rFonts w:hint="eastAsia"/>
                <w:color w:val="auto"/>
              </w:rPr>
              <w:t>（4）施工通讯</w:t>
            </w:r>
          </w:p>
          <w:p w14:paraId="45A19E95">
            <w:pPr>
              <w:ind w:firstLine="480"/>
              <w:rPr>
                <w:color w:val="auto"/>
              </w:rPr>
            </w:pPr>
            <w:r>
              <w:rPr>
                <w:rFonts w:hint="eastAsia"/>
                <w:color w:val="auto"/>
              </w:rPr>
              <w:t>工程区附近村庄移动通信全覆盖，满足施工通信要求。</w:t>
            </w:r>
          </w:p>
          <w:p w14:paraId="0666FBC8">
            <w:pPr>
              <w:ind w:firstLine="480"/>
              <w:rPr>
                <w:color w:val="auto"/>
              </w:rPr>
            </w:pPr>
            <w:r>
              <w:rPr>
                <w:rFonts w:hint="eastAsia"/>
                <w:color w:val="auto"/>
              </w:rPr>
              <w:t>（6）</w:t>
            </w:r>
            <w:r>
              <w:rPr>
                <w:color w:val="auto"/>
              </w:rPr>
              <w:t>施工工厂设施</w:t>
            </w:r>
          </w:p>
          <w:p w14:paraId="5DBA96ED">
            <w:pPr>
              <w:ind w:firstLine="480"/>
              <w:rPr>
                <w:color w:val="auto"/>
              </w:rPr>
            </w:pPr>
            <w:r>
              <w:rPr>
                <w:rFonts w:hint="eastAsia"/>
                <w:color w:val="auto"/>
              </w:rPr>
              <w:t>1）压缩空气系统</w:t>
            </w:r>
          </w:p>
          <w:p w14:paraId="6B1C1FE0">
            <w:pPr>
              <w:ind w:firstLine="480"/>
              <w:rPr>
                <w:color w:val="auto"/>
              </w:rPr>
            </w:pPr>
            <w:r>
              <w:rPr>
                <w:rFonts w:hint="eastAsia"/>
                <w:color w:val="auto"/>
              </w:rPr>
              <w:t>水池、泵站和取水坝工作面需要集中供风，其他建筑物开挖供风采用移动供风。共计设置3m³/min的移动式空压机14台，总供风能力为42m³/min。</w:t>
            </w:r>
          </w:p>
          <w:p w14:paraId="30FFC717">
            <w:pPr>
              <w:ind w:firstLine="480"/>
              <w:rPr>
                <w:color w:val="auto"/>
              </w:rPr>
            </w:pPr>
            <w:r>
              <w:rPr>
                <w:rFonts w:hint="eastAsia"/>
                <w:color w:val="auto"/>
              </w:rPr>
              <w:t>泵站的石方开挖工程量不大，考虑每个泵站布置1台3m³/min的空压机，共布置4台。2个水池工程各布置1台3m³/min空压机，共布置2台。新建管道每5km 布置一台3m³/min的移动式空压机，共布置8台。</w:t>
            </w:r>
          </w:p>
          <w:p w14:paraId="5F859ACA">
            <w:pPr>
              <w:ind w:firstLine="480"/>
              <w:rPr>
                <w:color w:val="auto"/>
              </w:rPr>
            </w:pPr>
            <w:r>
              <w:rPr>
                <w:rFonts w:hint="eastAsia"/>
                <w:color w:val="auto"/>
              </w:rPr>
              <w:t>2）施工供水系统</w:t>
            </w:r>
          </w:p>
          <w:p w14:paraId="239024A1">
            <w:pPr>
              <w:ind w:firstLine="480"/>
              <w:rPr>
                <w:color w:val="auto"/>
              </w:rPr>
            </w:pPr>
            <w:r>
              <w:rPr>
                <w:rFonts w:hint="eastAsia"/>
                <w:color w:val="auto"/>
              </w:rPr>
              <w:t>生活用时采用附近村庄自来水，施工用水采用箐沟自流引水或抽水的供水方式。混凝土浇筑按建筑物布置了6个2.0m³的移动临时水箱储水，生产生活区各配1台IS50-32-160型（流量12.5m³/h，扬程32m，功率3KW）水泵供水。</w:t>
            </w:r>
          </w:p>
          <w:p w14:paraId="6BDA07E2">
            <w:pPr>
              <w:ind w:firstLine="480"/>
              <w:rPr>
                <w:color w:val="auto"/>
              </w:rPr>
            </w:pPr>
            <w:r>
              <w:rPr>
                <w:rFonts w:hint="eastAsia"/>
                <w:color w:val="auto"/>
              </w:rPr>
              <w:t>3）施工供电</w:t>
            </w:r>
          </w:p>
          <w:p w14:paraId="266D4950">
            <w:pPr>
              <w:ind w:firstLine="480"/>
              <w:rPr>
                <w:color w:val="auto"/>
              </w:rPr>
            </w:pPr>
            <w:r>
              <w:rPr>
                <w:rFonts w:hint="eastAsia"/>
                <w:color w:val="auto"/>
              </w:rPr>
              <w:t>本工程生产生活区供电采用10kV输电线路接引电网至施工变压器供电，3个生产生活区各布置一座160kVA施工变压器，共布置施工变压器640kVA，10kV输电线路1.0km。其余施工点采用型号30GF3-1型（额定功率30kw）移动式柴油发电机供电。</w:t>
            </w:r>
          </w:p>
          <w:p w14:paraId="49A23E3B">
            <w:pPr>
              <w:ind w:firstLine="480"/>
              <w:rPr>
                <w:color w:val="auto"/>
              </w:rPr>
            </w:pPr>
            <w:r>
              <w:rPr>
                <w:rFonts w:hint="eastAsia"/>
                <w:color w:val="auto"/>
              </w:rPr>
              <w:t>4）混凝土生产系统</w:t>
            </w:r>
          </w:p>
          <w:p w14:paraId="703A31CD">
            <w:pPr>
              <w:ind w:firstLine="480"/>
              <w:rPr>
                <w:color w:val="auto"/>
              </w:rPr>
            </w:pPr>
            <w:r>
              <w:rPr>
                <w:rFonts w:hint="eastAsia"/>
                <w:color w:val="auto"/>
              </w:rPr>
              <w:t>本工程混凝土生产系统根据建筑物特点进行布置。泵站、取水口、水池单工作面的混凝土浇筑强度相对较高，各布置1台0.35m³移动式混凝土拌和机，其他管道线路单工作面的混凝土浇筑强度相对较低，沿线路根据需要布置移动式混凝土拌和机，共布置</w:t>
            </w:r>
            <w:r>
              <w:rPr>
                <w:color w:val="auto"/>
              </w:rPr>
              <w:t>8</w:t>
            </w:r>
            <w:r>
              <w:rPr>
                <w:rFonts w:hint="eastAsia"/>
                <w:color w:val="auto"/>
              </w:rPr>
              <w:t>台移动式混凝土拌和机。</w:t>
            </w:r>
          </w:p>
          <w:p w14:paraId="0395738C">
            <w:pPr>
              <w:ind w:firstLine="480"/>
              <w:rPr>
                <w:color w:val="auto"/>
              </w:rPr>
            </w:pPr>
            <w:r>
              <w:rPr>
                <w:rFonts w:hint="eastAsia"/>
                <w:color w:val="auto"/>
              </w:rPr>
              <w:t>5）机械修配厂</w:t>
            </w:r>
          </w:p>
          <w:p w14:paraId="177E6EE5">
            <w:pPr>
              <w:ind w:firstLine="480"/>
              <w:rPr>
                <w:color w:val="auto"/>
              </w:rPr>
            </w:pPr>
            <w:r>
              <w:rPr>
                <w:rFonts w:hint="eastAsia"/>
                <w:color w:val="auto"/>
              </w:rPr>
              <w:t>本工程主要采用中小型常规机械进行施工。铁佛镇具有一定的机修、汽修能力，至各施工区交通便利，因此本阶段考虑利用工程区附近的机修、汽修企业承担一般机械简单修理，施工机械大修考虑利用通江县相关的修配企业承担。</w:t>
            </w:r>
          </w:p>
          <w:p w14:paraId="68710109">
            <w:pPr>
              <w:ind w:firstLine="480"/>
              <w:rPr>
                <w:color w:val="auto"/>
              </w:rPr>
            </w:pPr>
            <w:r>
              <w:rPr>
                <w:rFonts w:hint="eastAsia"/>
                <w:color w:val="auto"/>
              </w:rPr>
              <w:t>6）钢筋加工厂</w:t>
            </w:r>
          </w:p>
          <w:p w14:paraId="524198CD">
            <w:pPr>
              <w:ind w:firstLine="480"/>
              <w:rPr>
                <w:color w:val="auto"/>
              </w:rPr>
            </w:pPr>
            <w:r>
              <w:rPr>
                <w:rFonts w:hint="eastAsia"/>
                <w:color w:val="auto"/>
              </w:rPr>
              <w:t>每个生产生活区考虑布置1个钢筋加工厂，共计布置3个钢筋加工厂。</w:t>
            </w:r>
          </w:p>
          <w:p w14:paraId="398FC4D8">
            <w:pPr>
              <w:ind w:firstLine="480"/>
              <w:rPr>
                <w:color w:val="auto"/>
              </w:rPr>
            </w:pPr>
            <w:r>
              <w:rPr>
                <w:rFonts w:hint="eastAsia"/>
                <w:color w:val="auto"/>
              </w:rPr>
              <w:t>钢筋（材）加工厂主要承担钢筋的加工、制作任务，工厂主要设置原料堆场、钢筋矫直冷拉场、对焊车间和综合加工车间，配置拔丝机、调直断筋机、镦头机、冷拉设备、焊接设备等。加工厂的规模为4t/班，按每天两班组织生产。</w:t>
            </w:r>
          </w:p>
          <w:p w14:paraId="5B7F5A2C">
            <w:pPr>
              <w:ind w:firstLine="480"/>
              <w:rPr>
                <w:color w:val="auto"/>
              </w:rPr>
            </w:pPr>
            <w:r>
              <w:rPr>
                <w:rFonts w:hint="eastAsia"/>
                <w:color w:val="auto"/>
              </w:rPr>
              <w:t>7）木材加工厂</w:t>
            </w:r>
          </w:p>
          <w:p w14:paraId="5B37D05C">
            <w:pPr>
              <w:ind w:firstLine="480"/>
              <w:rPr>
                <w:color w:val="auto"/>
              </w:rPr>
            </w:pPr>
            <w:r>
              <w:rPr>
                <w:rFonts w:hint="eastAsia"/>
                <w:color w:val="auto"/>
              </w:rPr>
              <w:t>每个生产生活区考虑布置1个木材加工厂，共计布置3个木材加工厂。</w:t>
            </w:r>
          </w:p>
          <w:p w14:paraId="37B10F68">
            <w:pPr>
              <w:ind w:firstLine="480"/>
              <w:rPr>
                <w:color w:val="auto"/>
              </w:rPr>
            </w:pPr>
            <w:r>
              <w:rPr>
                <w:rFonts w:hint="eastAsia"/>
                <w:color w:val="auto"/>
              </w:rPr>
              <w:t>木材加工厂主要承担混凝土浇筑异型模板加工和木制结构加工的任务，工作内容主要有锯、刨、开榫等，厂内一般设置卸料场、原料堆场、锯材堆场、机木堆场、模板细木堆场、锯材车间、配料机木车间和模板细木车间等，其中卸料场、原料堆场、锯材车间和加工设备均可适应来料为原木的情况。加工厂规模为2m³/班，按每天一班组织生产。</w:t>
            </w:r>
          </w:p>
          <w:p w14:paraId="00F06A06">
            <w:pPr>
              <w:ind w:firstLine="480"/>
              <w:rPr>
                <w:color w:val="auto"/>
              </w:rPr>
            </w:pPr>
            <w:r>
              <w:rPr>
                <w:rFonts w:hint="eastAsia"/>
                <w:color w:val="auto"/>
              </w:rPr>
              <w:t>（6）施工场地规划</w:t>
            </w:r>
          </w:p>
          <w:p w14:paraId="22224862">
            <w:pPr>
              <w:ind w:firstLine="456"/>
              <w:rPr>
                <w:color w:val="auto"/>
              </w:rPr>
            </w:pPr>
            <w:r>
              <w:rPr>
                <w:color w:val="auto"/>
                <w:spacing w:val="-6"/>
              </w:rPr>
              <w:t>本工程输水线路布置较为分散，施工区点多面广。根据施工需要，尽可能在</w:t>
            </w:r>
            <w:r>
              <w:rPr>
                <w:color w:val="auto"/>
                <w:spacing w:val="-7"/>
              </w:rPr>
              <w:t>输水线路的管道、取水进水口、水池、泵站工作面等附近区域布置生产生活区，以避让三区三线、公益林、乔木林和保护区为前提，以就近布置为原则。工程</w:t>
            </w:r>
            <w:r>
              <w:rPr>
                <w:color w:val="auto"/>
                <w:spacing w:val="-12"/>
              </w:rPr>
              <w:t>布置生产生活区</w:t>
            </w:r>
            <w:r>
              <w:rPr>
                <w:rFonts w:eastAsia="Times New Roman"/>
                <w:color w:val="auto"/>
              </w:rPr>
              <w:t>3</w:t>
            </w:r>
            <w:r>
              <w:rPr>
                <w:color w:val="auto"/>
              </w:rPr>
              <w:t>个</w:t>
            </w:r>
            <w:r>
              <w:rPr>
                <w:rFonts w:hint="eastAsia"/>
                <w:color w:val="auto"/>
              </w:rPr>
              <w:t>。</w:t>
            </w:r>
            <w:r>
              <w:rPr>
                <w:color w:val="auto"/>
              </w:rPr>
              <w:t>项目施工期平面布置详见附图</w:t>
            </w:r>
            <w:r>
              <w:rPr>
                <w:rFonts w:hint="eastAsia"/>
                <w:color w:val="auto"/>
              </w:rPr>
              <w:t>4。</w:t>
            </w:r>
          </w:p>
          <w:p w14:paraId="76BEDD59">
            <w:pPr>
              <w:ind w:firstLine="480"/>
              <w:rPr>
                <w:color w:val="auto"/>
              </w:rPr>
            </w:pPr>
            <w:r>
              <w:rPr>
                <w:rFonts w:hint="eastAsia"/>
                <w:color w:val="auto"/>
              </w:rPr>
              <w:t>（7）占地与拆迁</w:t>
            </w:r>
          </w:p>
          <w:p w14:paraId="3D3FECAA">
            <w:pPr>
              <w:ind w:firstLine="480"/>
              <w:rPr>
                <w:color w:val="auto"/>
              </w:rPr>
            </w:pPr>
            <w:r>
              <w:rPr>
                <w:color w:val="auto"/>
              </w:rPr>
              <w:t>本工程</w:t>
            </w:r>
            <w:r>
              <w:rPr>
                <w:rFonts w:hint="eastAsia"/>
                <w:color w:val="auto"/>
              </w:rPr>
              <w:t>总占地约9.01hm</w:t>
            </w:r>
            <w:r>
              <w:rPr>
                <w:color w:val="auto"/>
                <w:vertAlign w:val="superscript"/>
              </w:rPr>
              <w:t>2</w:t>
            </w:r>
            <w:r>
              <w:rPr>
                <w:rFonts w:hint="eastAsia"/>
                <w:color w:val="auto"/>
              </w:rPr>
              <w:t>，其中</w:t>
            </w:r>
            <w:r>
              <w:rPr>
                <w:color w:val="auto"/>
              </w:rPr>
              <w:t>永久占地</w:t>
            </w:r>
            <w:r>
              <w:rPr>
                <w:rFonts w:hint="eastAsia"/>
                <w:color w:val="auto"/>
              </w:rPr>
              <w:t>约0.63hm</w:t>
            </w:r>
            <w:r>
              <w:rPr>
                <w:rFonts w:hint="eastAsia"/>
                <w:color w:val="auto"/>
                <w:vertAlign w:val="superscript"/>
              </w:rPr>
              <w:t>2</w:t>
            </w:r>
            <w:r>
              <w:rPr>
                <w:rFonts w:hint="eastAsia"/>
                <w:color w:val="auto"/>
              </w:rPr>
              <w:t>，</w:t>
            </w:r>
            <w:r>
              <w:rPr>
                <w:color w:val="auto"/>
              </w:rPr>
              <w:t>主要为</w:t>
            </w:r>
            <w:r>
              <w:rPr>
                <w:rFonts w:hint="eastAsia"/>
                <w:color w:val="auto"/>
              </w:rPr>
              <w:t>调蓄水池、</w:t>
            </w:r>
            <w:r>
              <w:rPr>
                <w:color w:val="auto"/>
              </w:rPr>
              <w:t>增压泵站和管网沿程各种阀井占地</w:t>
            </w:r>
            <w:r>
              <w:rPr>
                <w:rFonts w:hint="eastAsia"/>
                <w:color w:val="auto"/>
              </w:rPr>
              <w:t>等；施工临时约8.38hm</w:t>
            </w:r>
            <w:r>
              <w:rPr>
                <w:rFonts w:hint="eastAsia"/>
                <w:color w:val="auto"/>
                <w:vertAlign w:val="superscript"/>
              </w:rPr>
              <w:t>2</w:t>
            </w:r>
            <w:r>
              <w:rPr>
                <w:rFonts w:hint="eastAsia"/>
                <w:color w:val="auto"/>
              </w:rPr>
              <w:t>，主要为生产生活用地及输配水管线沟槽开挖临时用地。</w:t>
            </w:r>
          </w:p>
          <w:p w14:paraId="0D8D1FF1">
            <w:pPr>
              <w:pStyle w:val="17"/>
              <w:rPr>
                <w:rFonts w:hint="default"/>
                <w:color w:val="auto"/>
              </w:rPr>
            </w:pPr>
            <w:r>
              <w:rPr>
                <w:color w:val="auto"/>
              </w:rPr>
              <w:t>表2-5 施工场地布置一览表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2025"/>
              <w:gridCol w:w="1633"/>
              <w:gridCol w:w="1633"/>
              <w:gridCol w:w="1633"/>
            </w:tblGrid>
            <w:tr w14:paraId="01196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0" w:type="dxa"/>
                  <w:gridSpan w:val="2"/>
                  <w:vMerge w:val="restart"/>
                  <w:noWrap/>
                  <w:vAlign w:val="center"/>
                </w:tcPr>
                <w:p w14:paraId="32027D50">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项目组成</w:t>
                  </w:r>
                </w:p>
              </w:tc>
              <w:tc>
                <w:tcPr>
                  <w:tcW w:w="3120" w:type="dxa"/>
                  <w:gridSpan w:val="3"/>
                  <w:noWrap/>
                  <w:vAlign w:val="center"/>
                </w:tcPr>
                <w:p w14:paraId="248E45D3">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占地面积（</w:t>
                  </w:r>
                  <w:r>
                    <w:rPr>
                      <w:rFonts w:eastAsia="新宋体"/>
                      <w:color w:val="auto"/>
                      <w:kern w:val="0"/>
                      <w:sz w:val="18"/>
                      <w:szCs w:val="18"/>
                    </w:rPr>
                    <w:t>hm</w:t>
                  </w:r>
                  <w:r>
                    <w:rPr>
                      <w:rFonts w:eastAsia="新宋体" w:cs="Calibri"/>
                      <w:color w:val="auto"/>
                      <w:kern w:val="0"/>
                      <w:sz w:val="18"/>
                      <w:szCs w:val="18"/>
                    </w:rPr>
                    <w:t>²</w:t>
                  </w:r>
                  <w:r>
                    <w:rPr>
                      <w:rFonts w:hint="eastAsia" w:eastAsia="新宋体" w:cs="宋体"/>
                      <w:color w:val="auto"/>
                      <w:kern w:val="0"/>
                      <w:sz w:val="18"/>
                      <w:szCs w:val="18"/>
                    </w:rPr>
                    <w:t>）</w:t>
                  </w:r>
                </w:p>
              </w:tc>
            </w:tr>
            <w:tr w14:paraId="7C228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0" w:type="dxa"/>
                  <w:gridSpan w:val="2"/>
                  <w:vMerge w:val="continue"/>
                  <w:vAlign w:val="center"/>
                </w:tcPr>
                <w:p w14:paraId="46C5F19B">
                  <w:pPr>
                    <w:widowControl/>
                    <w:autoSpaceDE/>
                    <w:autoSpaceDN/>
                    <w:spacing w:line="240" w:lineRule="auto"/>
                    <w:ind w:firstLine="0" w:firstLineChars="0"/>
                    <w:jc w:val="left"/>
                    <w:rPr>
                      <w:rFonts w:hint="eastAsia" w:eastAsia="新宋体" w:cs="宋体"/>
                      <w:color w:val="auto"/>
                      <w:kern w:val="0"/>
                      <w:sz w:val="18"/>
                      <w:szCs w:val="18"/>
                    </w:rPr>
                  </w:pPr>
                </w:p>
              </w:tc>
              <w:tc>
                <w:tcPr>
                  <w:tcW w:w="1040" w:type="dxa"/>
                  <w:noWrap/>
                  <w:vAlign w:val="center"/>
                </w:tcPr>
                <w:p w14:paraId="32D2B322">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永久占地</w:t>
                  </w:r>
                </w:p>
              </w:tc>
              <w:tc>
                <w:tcPr>
                  <w:tcW w:w="1040" w:type="dxa"/>
                  <w:noWrap/>
                  <w:vAlign w:val="center"/>
                </w:tcPr>
                <w:p w14:paraId="582EECE7">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临时占地</w:t>
                  </w:r>
                </w:p>
              </w:tc>
              <w:tc>
                <w:tcPr>
                  <w:tcW w:w="1040" w:type="dxa"/>
                  <w:vAlign w:val="center"/>
                </w:tcPr>
                <w:p w14:paraId="1B4333A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合计</w:t>
                  </w:r>
                </w:p>
              </w:tc>
            </w:tr>
            <w:tr w14:paraId="7B5F7D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restart"/>
                  <w:vAlign w:val="center"/>
                </w:tcPr>
                <w:p w14:paraId="5446004D">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流里河水库片区</w:t>
                  </w:r>
                </w:p>
              </w:tc>
              <w:tc>
                <w:tcPr>
                  <w:tcW w:w="1290" w:type="dxa"/>
                  <w:noWrap/>
                  <w:vAlign w:val="center"/>
                </w:tcPr>
                <w:p w14:paraId="1C867E30">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主体工程区</w:t>
                  </w:r>
                </w:p>
              </w:tc>
              <w:tc>
                <w:tcPr>
                  <w:tcW w:w="1040" w:type="dxa"/>
                  <w:noWrap/>
                  <w:vAlign w:val="center"/>
                </w:tcPr>
                <w:p w14:paraId="6EA3C6B6">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1C0B14B4">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1.89</w:t>
                  </w:r>
                </w:p>
              </w:tc>
              <w:tc>
                <w:tcPr>
                  <w:tcW w:w="1040" w:type="dxa"/>
                  <w:vAlign w:val="center"/>
                </w:tcPr>
                <w:p w14:paraId="7025F61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1.89</w:t>
                  </w:r>
                </w:p>
              </w:tc>
            </w:tr>
            <w:tr w14:paraId="4E04C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19558587">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00F04E35">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附属设施区</w:t>
                  </w:r>
                </w:p>
              </w:tc>
              <w:tc>
                <w:tcPr>
                  <w:tcW w:w="1040" w:type="dxa"/>
                  <w:noWrap/>
                  <w:vAlign w:val="center"/>
                </w:tcPr>
                <w:p w14:paraId="1DF509A5">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0.02</w:t>
                  </w:r>
                </w:p>
              </w:tc>
              <w:tc>
                <w:tcPr>
                  <w:tcW w:w="1040" w:type="dxa"/>
                  <w:vAlign w:val="center"/>
                </w:tcPr>
                <w:p w14:paraId="5C7FAFDF">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298AD471">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0.02</w:t>
                  </w:r>
                </w:p>
              </w:tc>
            </w:tr>
            <w:tr w14:paraId="1D1C8C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2954B714">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32004CB0">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施工生产生活区</w:t>
                  </w:r>
                </w:p>
              </w:tc>
              <w:tc>
                <w:tcPr>
                  <w:tcW w:w="1040" w:type="dxa"/>
                  <w:noWrap/>
                  <w:vAlign w:val="center"/>
                </w:tcPr>
                <w:p w14:paraId="508ACE48">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781891E5">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0.17</w:t>
                  </w:r>
                </w:p>
              </w:tc>
              <w:tc>
                <w:tcPr>
                  <w:tcW w:w="1040" w:type="dxa"/>
                  <w:vAlign w:val="center"/>
                </w:tcPr>
                <w:p w14:paraId="61A1F40D">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0.17</w:t>
                  </w:r>
                </w:p>
              </w:tc>
            </w:tr>
            <w:tr w14:paraId="41290F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6B3EA622">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5D78497B">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临时堆料场区</w:t>
                  </w:r>
                </w:p>
              </w:tc>
              <w:tc>
                <w:tcPr>
                  <w:tcW w:w="1040" w:type="dxa"/>
                  <w:noWrap/>
                  <w:vAlign w:val="center"/>
                </w:tcPr>
                <w:p w14:paraId="6AA7D982">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44504AA9">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0.12</w:t>
                  </w:r>
                </w:p>
              </w:tc>
              <w:tc>
                <w:tcPr>
                  <w:tcW w:w="1040" w:type="dxa"/>
                  <w:vAlign w:val="center"/>
                </w:tcPr>
                <w:p w14:paraId="574D0797">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0.12</w:t>
                  </w:r>
                </w:p>
              </w:tc>
            </w:tr>
            <w:tr w14:paraId="1CB70B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5F4A9E22">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4CA17317">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施工道路区</w:t>
                  </w:r>
                </w:p>
              </w:tc>
              <w:tc>
                <w:tcPr>
                  <w:tcW w:w="1040" w:type="dxa"/>
                  <w:noWrap/>
                  <w:vAlign w:val="center"/>
                </w:tcPr>
                <w:p w14:paraId="68C9130B">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04EC7719">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0.54</w:t>
                  </w:r>
                </w:p>
              </w:tc>
              <w:tc>
                <w:tcPr>
                  <w:tcW w:w="1040" w:type="dxa"/>
                  <w:vAlign w:val="center"/>
                </w:tcPr>
                <w:p w14:paraId="7EA1B559">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0.54</w:t>
                  </w:r>
                </w:p>
              </w:tc>
            </w:tr>
            <w:tr w14:paraId="5F6D5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353469EE">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36D0AC39">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小计</w:t>
                  </w:r>
                </w:p>
              </w:tc>
              <w:tc>
                <w:tcPr>
                  <w:tcW w:w="1040" w:type="dxa"/>
                  <w:noWrap/>
                  <w:vAlign w:val="center"/>
                </w:tcPr>
                <w:p w14:paraId="7E6BDB99">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0.02</w:t>
                  </w:r>
                </w:p>
              </w:tc>
              <w:tc>
                <w:tcPr>
                  <w:tcW w:w="1040" w:type="dxa"/>
                  <w:noWrap/>
                  <w:vAlign w:val="center"/>
                </w:tcPr>
                <w:p w14:paraId="0AD4751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2.72</w:t>
                  </w:r>
                </w:p>
              </w:tc>
              <w:tc>
                <w:tcPr>
                  <w:tcW w:w="1040" w:type="dxa"/>
                  <w:vAlign w:val="center"/>
                </w:tcPr>
                <w:p w14:paraId="139BEA04">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2.74</w:t>
                  </w:r>
                </w:p>
              </w:tc>
            </w:tr>
            <w:tr w14:paraId="72776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restart"/>
                  <w:vAlign w:val="center"/>
                </w:tcPr>
                <w:p w14:paraId="7FC76EA3">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澌溪沟水库片区</w:t>
                  </w:r>
                </w:p>
              </w:tc>
              <w:tc>
                <w:tcPr>
                  <w:tcW w:w="1290" w:type="dxa"/>
                  <w:noWrap/>
                  <w:vAlign w:val="center"/>
                </w:tcPr>
                <w:p w14:paraId="20EC66CB">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主体工程区</w:t>
                  </w:r>
                </w:p>
              </w:tc>
              <w:tc>
                <w:tcPr>
                  <w:tcW w:w="1040" w:type="dxa"/>
                  <w:vAlign w:val="center"/>
                </w:tcPr>
                <w:p w14:paraId="28302BBA">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5B0A37F7">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0.96</w:t>
                  </w:r>
                </w:p>
              </w:tc>
              <w:tc>
                <w:tcPr>
                  <w:tcW w:w="1040" w:type="dxa"/>
                  <w:vAlign w:val="center"/>
                </w:tcPr>
                <w:p w14:paraId="3211DDD1">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0.96</w:t>
                  </w:r>
                </w:p>
              </w:tc>
            </w:tr>
            <w:tr w14:paraId="30DF5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68EA55DA">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00EC74B9">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附属设施区</w:t>
                  </w:r>
                </w:p>
              </w:tc>
              <w:tc>
                <w:tcPr>
                  <w:tcW w:w="1040" w:type="dxa"/>
                  <w:vAlign w:val="center"/>
                </w:tcPr>
                <w:p w14:paraId="0A469F99">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0.29</w:t>
                  </w:r>
                </w:p>
              </w:tc>
              <w:tc>
                <w:tcPr>
                  <w:tcW w:w="1040" w:type="dxa"/>
                  <w:vAlign w:val="center"/>
                </w:tcPr>
                <w:p w14:paraId="52656183">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165AB506">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0.29</w:t>
                  </w:r>
                </w:p>
              </w:tc>
            </w:tr>
            <w:tr w14:paraId="2E77A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03C54F49">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437F4F94">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施工生产生活区</w:t>
                  </w:r>
                </w:p>
              </w:tc>
              <w:tc>
                <w:tcPr>
                  <w:tcW w:w="1040" w:type="dxa"/>
                  <w:vAlign w:val="center"/>
                </w:tcPr>
                <w:p w14:paraId="061CB31E">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16102AEA">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0.32</w:t>
                  </w:r>
                </w:p>
              </w:tc>
              <w:tc>
                <w:tcPr>
                  <w:tcW w:w="1040" w:type="dxa"/>
                  <w:vAlign w:val="center"/>
                </w:tcPr>
                <w:p w14:paraId="054B2283">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0.32</w:t>
                  </w:r>
                </w:p>
              </w:tc>
            </w:tr>
            <w:tr w14:paraId="32FE9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3EE8E357">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076667DC">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临时堆料场区</w:t>
                  </w:r>
                </w:p>
              </w:tc>
              <w:tc>
                <w:tcPr>
                  <w:tcW w:w="1040" w:type="dxa"/>
                  <w:vAlign w:val="center"/>
                </w:tcPr>
                <w:p w14:paraId="7EAB21EF">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0641C4D0">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0.22</w:t>
                  </w:r>
                </w:p>
              </w:tc>
              <w:tc>
                <w:tcPr>
                  <w:tcW w:w="1040" w:type="dxa"/>
                  <w:vAlign w:val="center"/>
                </w:tcPr>
                <w:p w14:paraId="24282420">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0.22</w:t>
                  </w:r>
                </w:p>
              </w:tc>
            </w:tr>
            <w:tr w14:paraId="16565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6C8630CB">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730AD906">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施工道路区</w:t>
                  </w:r>
                </w:p>
              </w:tc>
              <w:tc>
                <w:tcPr>
                  <w:tcW w:w="1040" w:type="dxa"/>
                  <w:vAlign w:val="center"/>
                </w:tcPr>
                <w:p w14:paraId="0234AFFF">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3A50840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0.35</w:t>
                  </w:r>
                </w:p>
              </w:tc>
              <w:tc>
                <w:tcPr>
                  <w:tcW w:w="1040" w:type="dxa"/>
                  <w:vAlign w:val="center"/>
                </w:tcPr>
                <w:p w14:paraId="3DE50750">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0.35</w:t>
                  </w:r>
                </w:p>
              </w:tc>
            </w:tr>
            <w:tr w14:paraId="6193F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0944A01F">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28BF80C2">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小计</w:t>
                  </w:r>
                </w:p>
              </w:tc>
              <w:tc>
                <w:tcPr>
                  <w:tcW w:w="1040" w:type="dxa"/>
                  <w:noWrap/>
                  <w:vAlign w:val="center"/>
                </w:tcPr>
                <w:p w14:paraId="55BB4E7E">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0.29</w:t>
                  </w:r>
                </w:p>
              </w:tc>
              <w:tc>
                <w:tcPr>
                  <w:tcW w:w="1040" w:type="dxa"/>
                  <w:noWrap/>
                  <w:vAlign w:val="center"/>
                </w:tcPr>
                <w:p w14:paraId="0DBF2493">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1.85</w:t>
                  </w:r>
                </w:p>
              </w:tc>
              <w:tc>
                <w:tcPr>
                  <w:tcW w:w="1040" w:type="dxa"/>
                  <w:vAlign w:val="center"/>
                </w:tcPr>
                <w:p w14:paraId="78EAC4F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2.14</w:t>
                  </w:r>
                </w:p>
              </w:tc>
            </w:tr>
            <w:tr w14:paraId="12FB2C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restart"/>
                  <w:vAlign w:val="center"/>
                </w:tcPr>
                <w:p w14:paraId="037D7F1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王家河水库片区</w:t>
                  </w:r>
                </w:p>
              </w:tc>
              <w:tc>
                <w:tcPr>
                  <w:tcW w:w="1290" w:type="dxa"/>
                  <w:noWrap/>
                  <w:vAlign w:val="center"/>
                </w:tcPr>
                <w:p w14:paraId="008272FA">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主体工程区</w:t>
                  </w:r>
                </w:p>
              </w:tc>
              <w:tc>
                <w:tcPr>
                  <w:tcW w:w="1040" w:type="dxa"/>
                  <w:vAlign w:val="center"/>
                </w:tcPr>
                <w:p w14:paraId="27818277">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2E76D810">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1.95</w:t>
                  </w:r>
                </w:p>
              </w:tc>
              <w:tc>
                <w:tcPr>
                  <w:tcW w:w="1040" w:type="dxa"/>
                  <w:vAlign w:val="center"/>
                </w:tcPr>
                <w:p w14:paraId="204BB21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1.95</w:t>
                  </w:r>
                </w:p>
              </w:tc>
            </w:tr>
            <w:tr w14:paraId="169FA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48F93924">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1C11F2C2">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附属设施区</w:t>
                  </w:r>
                </w:p>
              </w:tc>
              <w:tc>
                <w:tcPr>
                  <w:tcW w:w="1040" w:type="dxa"/>
                  <w:vAlign w:val="center"/>
                </w:tcPr>
                <w:p w14:paraId="779AC20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0.32</w:t>
                  </w:r>
                </w:p>
              </w:tc>
              <w:tc>
                <w:tcPr>
                  <w:tcW w:w="1040" w:type="dxa"/>
                  <w:vAlign w:val="center"/>
                </w:tcPr>
                <w:p w14:paraId="0711B626">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4D85872D">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0.32</w:t>
                  </w:r>
                </w:p>
              </w:tc>
            </w:tr>
            <w:tr w14:paraId="54964A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069A4AB9">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6831568C">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施工生产生活区</w:t>
                  </w:r>
                </w:p>
              </w:tc>
              <w:tc>
                <w:tcPr>
                  <w:tcW w:w="1040" w:type="dxa"/>
                  <w:vAlign w:val="center"/>
                </w:tcPr>
                <w:p w14:paraId="47D233AB">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6614F5CB">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0.18</w:t>
                  </w:r>
                </w:p>
              </w:tc>
              <w:tc>
                <w:tcPr>
                  <w:tcW w:w="1040" w:type="dxa"/>
                  <w:vAlign w:val="center"/>
                </w:tcPr>
                <w:p w14:paraId="4D26624F">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0.18</w:t>
                  </w:r>
                </w:p>
              </w:tc>
            </w:tr>
            <w:tr w14:paraId="4B842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24ADC232">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38FFB78E">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临时堆料场区</w:t>
                  </w:r>
                </w:p>
              </w:tc>
              <w:tc>
                <w:tcPr>
                  <w:tcW w:w="1040" w:type="dxa"/>
                  <w:vAlign w:val="center"/>
                </w:tcPr>
                <w:p w14:paraId="45318FB0">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1962294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0.11</w:t>
                  </w:r>
                </w:p>
              </w:tc>
              <w:tc>
                <w:tcPr>
                  <w:tcW w:w="1040" w:type="dxa"/>
                  <w:vAlign w:val="center"/>
                </w:tcPr>
                <w:p w14:paraId="65D5860B">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0.11</w:t>
                  </w:r>
                </w:p>
              </w:tc>
            </w:tr>
            <w:tr w14:paraId="6BB1A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2915D9F5">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465763D2">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施工道路区</w:t>
                  </w:r>
                </w:p>
              </w:tc>
              <w:tc>
                <w:tcPr>
                  <w:tcW w:w="1040" w:type="dxa"/>
                  <w:vAlign w:val="center"/>
                </w:tcPr>
                <w:p w14:paraId="219D44A2">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295ED06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1.57</w:t>
                  </w:r>
                </w:p>
              </w:tc>
              <w:tc>
                <w:tcPr>
                  <w:tcW w:w="1040" w:type="dxa"/>
                  <w:vAlign w:val="center"/>
                </w:tcPr>
                <w:p w14:paraId="356E8358">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1.57</w:t>
                  </w:r>
                </w:p>
              </w:tc>
            </w:tr>
            <w:tr w14:paraId="709E8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1916CF81">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1B23363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小计</w:t>
                  </w:r>
                </w:p>
              </w:tc>
              <w:tc>
                <w:tcPr>
                  <w:tcW w:w="1040" w:type="dxa"/>
                  <w:noWrap/>
                  <w:vAlign w:val="center"/>
                </w:tcPr>
                <w:p w14:paraId="30E4D313">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0.32</w:t>
                  </w:r>
                </w:p>
              </w:tc>
              <w:tc>
                <w:tcPr>
                  <w:tcW w:w="1040" w:type="dxa"/>
                  <w:noWrap/>
                  <w:vAlign w:val="center"/>
                </w:tcPr>
                <w:p w14:paraId="55823E9E">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3.81</w:t>
                  </w:r>
                </w:p>
              </w:tc>
              <w:tc>
                <w:tcPr>
                  <w:tcW w:w="1040" w:type="dxa"/>
                  <w:vAlign w:val="center"/>
                </w:tcPr>
                <w:p w14:paraId="00A90E84">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4.13</w:t>
                  </w:r>
                </w:p>
              </w:tc>
            </w:tr>
            <w:tr w14:paraId="6F302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restart"/>
                  <w:vAlign w:val="center"/>
                </w:tcPr>
                <w:p w14:paraId="0D8602EA">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合计</w:t>
                  </w:r>
                </w:p>
              </w:tc>
              <w:tc>
                <w:tcPr>
                  <w:tcW w:w="1290" w:type="dxa"/>
                  <w:noWrap/>
                  <w:vAlign w:val="center"/>
                </w:tcPr>
                <w:p w14:paraId="692A84C6">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主体工程区</w:t>
                  </w:r>
                </w:p>
              </w:tc>
              <w:tc>
                <w:tcPr>
                  <w:tcW w:w="1040" w:type="dxa"/>
                  <w:noWrap/>
                  <w:vAlign w:val="center"/>
                </w:tcPr>
                <w:p w14:paraId="1F34A1DC">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4132270D">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4.8</w:t>
                  </w:r>
                </w:p>
              </w:tc>
              <w:tc>
                <w:tcPr>
                  <w:tcW w:w="1040" w:type="dxa"/>
                  <w:vAlign w:val="center"/>
                </w:tcPr>
                <w:p w14:paraId="3C10E50E">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4.8</w:t>
                  </w:r>
                </w:p>
              </w:tc>
            </w:tr>
            <w:tr w14:paraId="7CDBC2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246C11F2">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60F92F7A">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附属设施区</w:t>
                  </w:r>
                </w:p>
              </w:tc>
              <w:tc>
                <w:tcPr>
                  <w:tcW w:w="1040" w:type="dxa"/>
                  <w:noWrap/>
                  <w:vAlign w:val="center"/>
                </w:tcPr>
                <w:p w14:paraId="529F4ED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0.63</w:t>
                  </w:r>
                </w:p>
              </w:tc>
              <w:tc>
                <w:tcPr>
                  <w:tcW w:w="1040" w:type="dxa"/>
                  <w:vAlign w:val="center"/>
                </w:tcPr>
                <w:p w14:paraId="44A12B35">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76036F8F">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0.63</w:t>
                  </w:r>
                </w:p>
              </w:tc>
            </w:tr>
            <w:tr w14:paraId="3074B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15D2C3D0">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51AECCD1">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施工生产生活区</w:t>
                  </w:r>
                </w:p>
              </w:tc>
              <w:tc>
                <w:tcPr>
                  <w:tcW w:w="1040" w:type="dxa"/>
                  <w:noWrap/>
                  <w:vAlign w:val="center"/>
                </w:tcPr>
                <w:p w14:paraId="39F447FE">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6B7A9B7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0.67</w:t>
                  </w:r>
                </w:p>
              </w:tc>
              <w:tc>
                <w:tcPr>
                  <w:tcW w:w="1040" w:type="dxa"/>
                  <w:vAlign w:val="center"/>
                </w:tcPr>
                <w:p w14:paraId="59ABD76F">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0.67</w:t>
                  </w:r>
                </w:p>
              </w:tc>
            </w:tr>
            <w:tr w14:paraId="7D012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080547D3">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4DA11E2D">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临时堆料场区</w:t>
                  </w:r>
                </w:p>
              </w:tc>
              <w:tc>
                <w:tcPr>
                  <w:tcW w:w="1040" w:type="dxa"/>
                  <w:noWrap/>
                  <w:vAlign w:val="center"/>
                </w:tcPr>
                <w:p w14:paraId="390F8ADA">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244E9341">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0.45</w:t>
                  </w:r>
                </w:p>
              </w:tc>
              <w:tc>
                <w:tcPr>
                  <w:tcW w:w="1040" w:type="dxa"/>
                  <w:vAlign w:val="center"/>
                </w:tcPr>
                <w:p w14:paraId="7573F815">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0.45</w:t>
                  </w:r>
                </w:p>
              </w:tc>
            </w:tr>
            <w:tr w14:paraId="78CC8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2FEDD152">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51841293">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施工道路区</w:t>
                  </w:r>
                </w:p>
              </w:tc>
              <w:tc>
                <w:tcPr>
                  <w:tcW w:w="1040" w:type="dxa"/>
                  <w:noWrap/>
                  <w:vAlign w:val="center"/>
                </w:tcPr>
                <w:p w14:paraId="52C97ECC">
                  <w:pPr>
                    <w:widowControl/>
                    <w:autoSpaceDE/>
                    <w:autoSpaceDN/>
                    <w:spacing w:line="240" w:lineRule="auto"/>
                    <w:ind w:firstLine="0" w:firstLineChars="0"/>
                    <w:jc w:val="center"/>
                    <w:rPr>
                      <w:rFonts w:eastAsia="新宋体"/>
                      <w:color w:val="auto"/>
                      <w:kern w:val="0"/>
                      <w:sz w:val="18"/>
                      <w:szCs w:val="18"/>
                    </w:rPr>
                  </w:pPr>
                  <w:r>
                    <w:rPr>
                      <w:rFonts w:hint="eastAsia" w:eastAsia="新宋体"/>
                      <w:color w:val="auto"/>
                      <w:kern w:val="0"/>
                      <w:sz w:val="18"/>
                      <w:szCs w:val="18"/>
                    </w:rPr>
                    <w:t>　</w:t>
                  </w:r>
                </w:p>
              </w:tc>
              <w:tc>
                <w:tcPr>
                  <w:tcW w:w="1040" w:type="dxa"/>
                  <w:vAlign w:val="center"/>
                </w:tcPr>
                <w:p w14:paraId="17123972">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2.46</w:t>
                  </w:r>
                </w:p>
              </w:tc>
              <w:tc>
                <w:tcPr>
                  <w:tcW w:w="1040" w:type="dxa"/>
                  <w:vAlign w:val="center"/>
                </w:tcPr>
                <w:p w14:paraId="31327C05">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2.46</w:t>
                  </w:r>
                </w:p>
              </w:tc>
            </w:tr>
            <w:tr w14:paraId="1965F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0" w:type="dxa"/>
                  <w:vMerge w:val="continue"/>
                  <w:vAlign w:val="center"/>
                </w:tcPr>
                <w:p w14:paraId="59A6619F">
                  <w:pPr>
                    <w:widowControl/>
                    <w:autoSpaceDE/>
                    <w:autoSpaceDN/>
                    <w:spacing w:line="240" w:lineRule="auto"/>
                    <w:ind w:firstLine="0" w:firstLineChars="0"/>
                    <w:jc w:val="left"/>
                    <w:rPr>
                      <w:rFonts w:hint="eastAsia" w:eastAsia="新宋体" w:cs="宋体"/>
                      <w:color w:val="auto"/>
                      <w:kern w:val="0"/>
                      <w:sz w:val="18"/>
                      <w:szCs w:val="18"/>
                    </w:rPr>
                  </w:pPr>
                </w:p>
              </w:tc>
              <w:tc>
                <w:tcPr>
                  <w:tcW w:w="1290" w:type="dxa"/>
                  <w:noWrap/>
                  <w:vAlign w:val="center"/>
                </w:tcPr>
                <w:p w14:paraId="5EFBFBFC">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合计</w:t>
                  </w:r>
                </w:p>
              </w:tc>
              <w:tc>
                <w:tcPr>
                  <w:tcW w:w="1040" w:type="dxa"/>
                  <w:noWrap/>
                  <w:vAlign w:val="center"/>
                </w:tcPr>
                <w:p w14:paraId="03FEC99E">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0.63</w:t>
                  </w:r>
                </w:p>
              </w:tc>
              <w:tc>
                <w:tcPr>
                  <w:tcW w:w="1040" w:type="dxa"/>
                  <w:vAlign w:val="center"/>
                </w:tcPr>
                <w:p w14:paraId="6089686C">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8.38</w:t>
                  </w:r>
                </w:p>
              </w:tc>
              <w:tc>
                <w:tcPr>
                  <w:tcW w:w="1040" w:type="dxa"/>
                  <w:vAlign w:val="center"/>
                </w:tcPr>
                <w:p w14:paraId="1277CFA7">
                  <w:pPr>
                    <w:widowControl/>
                    <w:autoSpaceDE/>
                    <w:autoSpaceDN/>
                    <w:spacing w:line="240" w:lineRule="auto"/>
                    <w:ind w:firstLine="0" w:firstLineChars="0"/>
                    <w:jc w:val="center"/>
                    <w:rPr>
                      <w:rFonts w:eastAsia="新宋体"/>
                      <w:color w:val="auto"/>
                      <w:kern w:val="0"/>
                      <w:sz w:val="18"/>
                      <w:szCs w:val="18"/>
                    </w:rPr>
                  </w:pPr>
                  <w:r>
                    <w:rPr>
                      <w:rFonts w:eastAsia="新宋体"/>
                      <w:color w:val="auto"/>
                      <w:kern w:val="0"/>
                      <w:sz w:val="18"/>
                      <w:szCs w:val="18"/>
                    </w:rPr>
                    <w:t>9.01</w:t>
                  </w:r>
                </w:p>
              </w:tc>
            </w:tr>
          </w:tbl>
          <w:p w14:paraId="5754E9C1">
            <w:pPr>
              <w:ind w:firstLine="0" w:firstLineChars="0"/>
              <w:rPr>
                <w:color w:val="auto"/>
                <w:kern w:val="0"/>
              </w:rPr>
            </w:pPr>
          </w:p>
        </w:tc>
      </w:tr>
      <w:tr w14:paraId="747606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10" w:type="dxa"/>
            <w:vAlign w:val="center"/>
          </w:tcPr>
          <w:p w14:paraId="459F4090">
            <w:pPr>
              <w:adjustRightInd w:val="0"/>
              <w:snapToGrid w:val="0"/>
              <w:ind w:firstLine="0" w:firstLineChars="0"/>
              <w:rPr>
                <w:color w:val="auto"/>
                <w:kern w:val="0"/>
              </w:rPr>
            </w:pPr>
            <w:r>
              <w:rPr>
                <w:color w:val="auto"/>
                <w:kern w:val="0"/>
              </w:rPr>
              <w:t>施工方案</w:t>
            </w:r>
          </w:p>
        </w:tc>
        <w:tc>
          <w:tcPr>
            <w:tcW w:w="8380" w:type="dxa"/>
          </w:tcPr>
          <w:p w14:paraId="0B77F17C">
            <w:pPr>
              <w:ind w:firstLine="482"/>
              <w:rPr>
                <w:b/>
                <w:bCs/>
                <w:color w:val="auto"/>
              </w:rPr>
            </w:pPr>
            <w:bookmarkStart w:id="11" w:name="_Toc15289"/>
            <w:bookmarkStart w:id="12" w:name="_Toc182173231"/>
            <w:bookmarkStart w:id="13" w:name="_Toc204948787"/>
            <w:bookmarkStart w:id="14" w:name="_Toc26031"/>
            <w:r>
              <w:rPr>
                <w:rFonts w:hint="eastAsia"/>
                <w:b/>
                <w:bCs/>
                <w:color w:val="auto"/>
              </w:rPr>
              <w:t>一、施工交通</w:t>
            </w:r>
          </w:p>
          <w:p w14:paraId="1377DA52">
            <w:pPr>
              <w:ind w:firstLine="482"/>
              <w:rPr>
                <w:b/>
                <w:bCs/>
                <w:color w:val="auto"/>
              </w:rPr>
            </w:pPr>
            <w:r>
              <w:rPr>
                <w:rFonts w:hint="eastAsia"/>
                <w:b/>
                <w:bCs/>
                <w:color w:val="auto"/>
              </w:rPr>
              <w:t>1、对外交通</w:t>
            </w:r>
          </w:p>
          <w:p w14:paraId="69F2EF99">
            <w:pPr>
              <w:ind w:firstLine="480"/>
              <w:rPr>
                <w:color w:val="auto"/>
              </w:rPr>
            </w:pPr>
            <w:r>
              <w:rPr>
                <w:rFonts w:hint="eastAsia"/>
                <w:color w:val="auto"/>
              </w:rPr>
              <w:t>通江县铁佛镇移民安置区饮水管网及灌溉水利设施建设工程位于四川省巴中市通江县南部的铁佛镇，距通江县</w:t>
            </w:r>
            <w:r>
              <w:rPr>
                <w:color w:val="auto"/>
              </w:rPr>
              <w:t>32km</w:t>
            </w:r>
            <w:r>
              <w:rPr>
                <w:rFonts w:hint="eastAsia"/>
                <w:color w:val="auto"/>
              </w:rPr>
              <w:t>，距巴中市</w:t>
            </w:r>
            <w:r>
              <w:rPr>
                <w:color w:val="auto"/>
              </w:rPr>
              <w:t>92km</w:t>
            </w:r>
            <w:r>
              <w:rPr>
                <w:rFonts w:hint="eastAsia"/>
                <w:color w:val="auto"/>
              </w:rPr>
              <w:t>。巴中市至通江县为高速公路，总里程</w:t>
            </w:r>
            <w:r>
              <w:rPr>
                <w:color w:val="auto"/>
              </w:rPr>
              <w:t>60km</w:t>
            </w:r>
            <w:r>
              <w:rPr>
                <w:rFonts w:hint="eastAsia"/>
                <w:color w:val="auto"/>
              </w:rPr>
              <w:t>；通江县至铁佛镇为</w:t>
            </w:r>
            <w:r>
              <w:rPr>
                <w:color w:val="auto"/>
              </w:rPr>
              <w:t>S204</w:t>
            </w:r>
            <w:r>
              <w:rPr>
                <w:rFonts w:hint="eastAsia"/>
                <w:color w:val="auto"/>
              </w:rPr>
              <w:t>通达公路，总里程</w:t>
            </w:r>
            <w:r>
              <w:rPr>
                <w:color w:val="auto"/>
              </w:rPr>
              <w:t>32km</w:t>
            </w:r>
            <w:r>
              <w:rPr>
                <w:rFonts w:hint="eastAsia"/>
                <w:color w:val="auto"/>
              </w:rPr>
              <w:t>。通江县铁佛镇移民安置区饮水管网及灌溉水利设施建设工程布置于</w:t>
            </w:r>
            <w:r>
              <w:rPr>
                <w:color w:val="auto"/>
              </w:rPr>
              <w:t>S204</w:t>
            </w:r>
            <w:r>
              <w:rPr>
                <w:rFonts w:hint="eastAsia"/>
                <w:color w:val="auto"/>
              </w:rPr>
              <w:t>通达公路两侧，大部分施工区已有公路连通，不需要新建进场道路。</w:t>
            </w:r>
          </w:p>
          <w:p w14:paraId="461BF402">
            <w:pPr>
              <w:ind w:firstLine="482"/>
              <w:rPr>
                <w:b/>
                <w:bCs/>
                <w:color w:val="auto"/>
              </w:rPr>
            </w:pPr>
            <w:r>
              <w:rPr>
                <w:b/>
                <w:bCs/>
                <w:color w:val="auto"/>
              </w:rPr>
              <w:t>2</w:t>
            </w:r>
            <w:r>
              <w:rPr>
                <w:rFonts w:hint="eastAsia"/>
                <w:b/>
                <w:bCs/>
                <w:color w:val="auto"/>
              </w:rPr>
              <w:t>、场内交通</w:t>
            </w:r>
          </w:p>
          <w:p w14:paraId="17D270B6">
            <w:pPr>
              <w:ind w:firstLine="480"/>
              <w:rPr>
                <w:color w:val="auto"/>
              </w:rPr>
            </w:pPr>
            <w:r>
              <w:rPr>
                <w:rFonts w:hint="eastAsia"/>
                <w:color w:val="auto"/>
              </w:rPr>
              <w:t>通江县铁佛镇移民安置区饮水管网及灌溉水利设施建设工程场内道路布置主要为联通现有道路至取水坝、新建管道高点、低点等。经布置，本工程共需新建场内道路</w:t>
            </w:r>
            <w:r>
              <w:rPr>
                <w:color w:val="auto"/>
              </w:rPr>
              <w:t>5.5km</w:t>
            </w:r>
            <w:r>
              <w:rPr>
                <w:rFonts w:hint="eastAsia"/>
                <w:color w:val="auto"/>
              </w:rPr>
              <w:t>。道路等级为场内三等单车道，路基宽</w:t>
            </w:r>
            <w:r>
              <w:rPr>
                <w:color w:val="auto"/>
              </w:rPr>
              <w:t>4.5m</w:t>
            </w:r>
            <w:r>
              <w:rPr>
                <w:rFonts w:hint="eastAsia"/>
                <w:color w:val="auto"/>
              </w:rPr>
              <w:t>，路面宽</w:t>
            </w:r>
            <w:r>
              <w:rPr>
                <w:color w:val="auto"/>
              </w:rPr>
              <w:t>3.5m</w:t>
            </w:r>
            <w:r>
              <w:rPr>
                <w:rFonts w:hint="eastAsia"/>
                <w:color w:val="auto"/>
              </w:rPr>
              <w:t>，道路最大纵坡不大于</w:t>
            </w:r>
            <w:r>
              <w:rPr>
                <w:color w:val="auto"/>
              </w:rPr>
              <w:t>9%</w:t>
            </w:r>
            <w:r>
              <w:rPr>
                <w:rFonts w:hint="eastAsia"/>
                <w:color w:val="auto"/>
              </w:rPr>
              <w:t>，路面结构为泥结碎石路面。</w:t>
            </w:r>
          </w:p>
          <w:p w14:paraId="4EAF5C64">
            <w:pPr>
              <w:ind w:firstLine="480"/>
              <w:rPr>
                <w:rFonts w:hint="eastAsia"/>
                <w:color w:val="auto"/>
              </w:rPr>
            </w:pPr>
            <w:r>
              <w:rPr>
                <w:color w:val="auto"/>
              </w:rPr>
              <w:t>场内施工临时道路布置统计见下表</w:t>
            </w:r>
            <w:r>
              <w:rPr>
                <w:rFonts w:hint="eastAsia" w:eastAsiaTheme="minorEastAsia"/>
                <w:color w:val="auto"/>
              </w:rPr>
              <w:t>2-6</w:t>
            </w:r>
            <w:r>
              <w:rPr>
                <w:color w:val="auto"/>
              </w:rPr>
              <w:t>。</w:t>
            </w:r>
          </w:p>
          <w:p w14:paraId="07A7F5B3">
            <w:pPr>
              <w:pStyle w:val="17"/>
              <w:rPr>
                <w:rFonts w:hint="default"/>
                <w:color w:val="auto"/>
              </w:rPr>
            </w:pPr>
            <w:r>
              <w:rPr>
                <w:color w:val="auto"/>
              </w:rPr>
              <w:t>表2-6施工道路-一览表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041"/>
              <w:gridCol w:w="2041"/>
              <w:gridCol w:w="2041"/>
            </w:tblGrid>
            <w:tr w14:paraId="4D0861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62D8B990">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序号</w:t>
                  </w:r>
                </w:p>
              </w:tc>
              <w:tc>
                <w:tcPr>
                  <w:tcW w:w="1040" w:type="dxa"/>
                  <w:vAlign w:val="center"/>
                </w:tcPr>
                <w:p w14:paraId="2F53A28E">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项目名称</w:t>
                  </w:r>
                </w:p>
              </w:tc>
              <w:tc>
                <w:tcPr>
                  <w:tcW w:w="1040" w:type="dxa"/>
                  <w:vAlign w:val="center"/>
                </w:tcPr>
                <w:p w14:paraId="368FE1E0">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单位</w:t>
                  </w:r>
                </w:p>
              </w:tc>
              <w:tc>
                <w:tcPr>
                  <w:tcW w:w="1040" w:type="dxa"/>
                  <w:vAlign w:val="center"/>
                </w:tcPr>
                <w:p w14:paraId="48D9225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数量</w:t>
                  </w:r>
                </w:p>
              </w:tc>
            </w:tr>
            <w:tr w14:paraId="71F51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559A7796">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1</w:t>
                  </w:r>
                </w:p>
              </w:tc>
              <w:tc>
                <w:tcPr>
                  <w:tcW w:w="1040" w:type="dxa"/>
                  <w:vAlign w:val="center"/>
                </w:tcPr>
                <w:p w14:paraId="21EA8CDC">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流里河水库片区</w:t>
                  </w:r>
                </w:p>
              </w:tc>
              <w:tc>
                <w:tcPr>
                  <w:tcW w:w="1040" w:type="dxa"/>
                  <w:vAlign w:val="center"/>
                </w:tcPr>
                <w:p w14:paraId="3E2AA5D2">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km</w:t>
                  </w:r>
                </w:p>
              </w:tc>
              <w:tc>
                <w:tcPr>
                  <w:tcW w:w="1040" w:type="dxa"/>
                  <w:vAlign w:val="center"/>
                </w:tcPr>
                <w:p w14:paraId="05283139">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1.2</w:t>
                  </w:r>
                </w:p>
              </w:tc>
            </w:tr>
            <w:tr w14:paraId="2DAAA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62E2C2EA">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2</w:t>
                  </w:r>
                </w:p>
              </w:tc>
              <w:tc>
                <w:tcPr>
                  <w:tcW w:w="1040" w:type="dxa"/>
                  <w:vAlign w:val="center"/>
                </w:tcPr>
                <w:p w14:paraId="305C72E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斯溪沟水库片区</w:t>
                  </w:r>
                </w:p>
              </w:tc>
              <w:tc>
                <w:tcPr>
                  <w:tcW w:w="1040" w:type="dxa"/>
                  <w:vAlign w:val="center"/>
                </w:tcPr>
                <w:p w14:paraId="65B21230">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km</w:t>
                  </w:r>
                </w:p>
              </w:tc>
              <w:tc>
                <w:tcPr>
                  <w:tcW w:w="1040" w:type="dxa"/>
                  <w:vAlign w:val="center"/>
                </w:tcPr>
                <w:p w14:paraId="7B70B3B2">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0.8</w:t>
                  </w:r>
                </w:p>
              </w:tc>
            </w:tr>
            <w:tr w14:paraId="07E70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06141C3C">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3</w:t>
                  </w:r>
                </w:p>
              </w:tc>
              <w:tc>
                <w:tcPr>
                  <w:tcW w:w="1040" w:type="dxa"/>
                  <w:vAlign w:val="center"/>
                </w:tcPr>
                <w:p w14:paraId="4C8BD04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王家河水库片区</w:t>
                  </w:r>
                </w:p>
              </w:tc>
              <w:tc>
                <w:tcPr>
                  <w:tcW w:w="1040" w:type="dxa"/>
                  <w:vAlign w:val="center"/>
                </w:tcPr>
                <w:p w14:paraId="2AC34E7A">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km</w:t>
                  </w:r>
                </w:p>
              </w:tc>
              <w:tc>
                <w:tcPr>
                  <w:tcW w:w="1040" w:type="dxa"/>
                  <w:vAlign w:val="center"/>
                </w:tcPr>
                <w:p w14:paraId="21A667C1">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3.5</w:t>
                  </w:r>
                </w:p>
              </w:tc>
            </w:tr>
            <w:tr w14:paraId="0542B2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45999403">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4</w:t>
                  </w:r>
                </w:p>
              </w:tc>
              <w:tc>
                <w:tcPr>
                  <w:tcW w:w="1040" w:type="dxa"/>
                  <w:vAlign w:val="center"/>
                </w:tcPr>
                <w:p w14:paraId="2FCFFFFF">
                  <w:pPr>
                    <w:widowControl/>
                    <w:autoSpaceDE/>
                    <w:autoSpaceDN/>
                    <w:spacing w:line="240" w:lineRule="auto"/>
                    <w:ind w:firstLine="0" w:firstLineChars="0"/>
                    <w:jc w:val="center"/>
                    <w:rPr>
                      <w:rFonts w:hint="eastAsia" w:eastAsia="新宋体" w:cs="宋体"/>
                      <w:color w:val="auto"/>
                      <w:kern w:val="0"/>
                      <w:sz w:val="18"/>
                      <w:szCs w:val="18"/>
                    </w:rPr>
                  </w:pPr>
                  <w:r>
                    <w:rPr>
                      <w:rFonts w:hint="eastAsia" w:eastAsia="新宋体" w:cs="宋体"/>
                      <w:color w:val="auto"/>
                      <w:kern w:val="0"/>
                      <w:sz w:val="18"/>
                      <w:szCs w:val="18"/>
                    </w:rPr>
                    <w:t>合计</w:t>
                  </w:r>
                </w:p>
              </w:tc>
              <w:tc>
                <w:tcPr>
                  <w:tcW w:w="1040" w:type="dxa"/>
                  <w:vAlign w:val="center"/>
                </w:tcPr>
                <w:p w14:paraId="599CA95C">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km</w:t>
                  </w:r>
                </w:p>
              </w:tc>
              <w:tc>
                <w:tcPr>
                  <w:tcW w:w="1040" w:type="dxa"/>
                  <w:vAlign w:val="center"/>
                </w:tcPr>
                <w:p w14:paraId="6A1A1273">
                  <w:pPr>
                    <w:widowControl/>
                    <w:autoSpaceDE/>
                    <w:autoSpaceDN/>
                    <w:spacing w:line="240" w:lineRule="auto"/>
                    <w:ind w:firstLine="0" w:firstLineChars="0"/>
                    <w:jc w:val="center"/>
                    <w:rPr>
                      <w:rFonts w:eastAsia="新宋体" w:cs="宋体"/>
                      <w:color w:val="auto"/>
                      <w:kern w:val="0"/>
                      <w:sz w:val="18"/>
                      <w:szCs w:val="18"/>
                    </w:rPr>
                  </w:pPr>
                  <w:r>
                    <w:rPr>
                      <w:rFonts w:eastAsia="新宋体" w:cs="宋体"/>
                      <w:color w:val="auto"/>
                      <w:kern w:val="0"/>
                      <w:sz w:val="18"/>
                      <w:szCs w:val="18"/>
                    </w:rPr>
                    <w:t>5.5</w:t>
                  </w:r>
                </w:p>
              </w:tc>
            </w:tr>
          </w:tbl>
          <w:p w14:paraId="7E03D96C">
            <w:pPr>
              <w:ind w:firstLine="0" w:firstLineChars="0"/>
              <w:rPr>
                <w:b/>
                <w:bCs/>
                <w:color w:val="auto"/>
              </w:rPr>
            </w:pPr>
          </w:p>
          <w:p w14:paraId="097CA95C">
            <w:pPr>
              <w:ind w:firstLine="482"/>
              <w:rPr>
                <w:b/>
                <w:bCs/>
                <w:color w:val="auto"/>
              </w:rPr>
            </w:pPr>
            <w:r>
              <w:rPr>
                <w:rFonts w:hint="eastAsia"/>
                <w:b/>
                <w:bCs/>
                <w:color w:val="auto"/>
              </w:rPr>
              <w:t>二、</w:t>
            </w:r>
            <w:r>
              <w:rPr>
                <w:b/>
                <w:bCs/>
                <w:color w:val="auto"/>
              </w:rPr>
              <w:t>施工</w:t>
            </w:r>
            <w:bookmarkEnd w:id="11"/>
            <w:bookmarkEnd w:id="12"/>
            <w:bookmarkEnd w:id="13"/>
            <w:bookmarkEnd w:id="14"/>
            <w:r>
              <w:rPr>
                <w:rFonts w:hint="eastAsia"/>
                <w:b/>
                <w:bCs/>
                <w:color w:val="auto"/>
              </w:rPr>
              <w:t>工艺</w:t>
            </w:r>
          </w:p>
          <w:p w14:paraId="2DD8E8E8">
            <w:pPr>
              <w:ind w:firstLine="480"/>
              <w:rPr>
                <w:color w:val="auto"/>
              </w:rPr>
            </w:pPr>
            <w:r>
              <w:rPr>
                <w:rFonts w:hint="eastAsia"/>
                <w:color w:val="auto"/>
              </w:rPr>
              <w:t>工程无需施工导流，主要包括水池施工、泵站施工、管道施工和机电设备和金属结构安装。</w:t>
            </w:r>
          </w:p>
          <w:p w14:paraId="06FF111D">
            <w:pPr>
              <w:ind w:firstLine="482"/>
              <w:rPr>
                <w:color w:val="auto"/>
              </w:rPr>
            </w:pPr>
            <w:r>
              <w:rPr>
                <w:rFonts w:hint="eastAsia"/>
                <w:b/>
                <w:bCs/>
                <w:color w:val="auto"/>
              </w:rPr>
              <w:t>1、施工导流</w:t>
            </w:r>
          </w:p>
          <w:p w14:paraId="17098658">
            <w:pPr>
              <w:ind w:firstLine="480"/>
              <w:rPr>
                <w:color w:val="auto"/>
              </w:rPr>
            </w:pPr>
            <w:r>
              <w:rPr>
                <w:rFonts w:hint="eastAsia"/>
                <w:color w:val="auto"/>
              </w:rPr>
              <w:t>（</w:t>
            </w:r>
            <w:r>
              <w:rPr>
                <w:color w:val="auto"/>
              </w:rPr>
              <w:t>1</w:t>
            </w:r>
            <w:r>
              <w:rPr>
                <w:rFonts w:hint="eastAsia"/>
                <w:color w:val="auto"/>
              </w:rPr>
              <w:t>）取水进水口</w:t>
            </w:r>
          </w:p>
          <w:p w14:paraId="6373A72C">
            <w:pPr>
              <w:ind w:firstLine="480"/>
              <w:rPr>
                <w:color w:val="auto"/>
              </w:rPr>
            </w:pPr>
            <w:r>
              <w:rPr>
                <w:rFonts w:hint="eastAsia"/>
                <w:color w:val="auto"/>
              </w:rPr>
              <w:t>本工程进水口采用浮桶取水，施工时无需导流。</w:t>
            </w:r>
          </w:p>
          <w:p w14:paraId="66E12E94">
            <w:pPr>
              <w:ind w:firstLine="480"/>
              <w:rPr>
                <w:color w:val="auto"/>
              </w:rPr>
            </w:pPr>
            <w:r>
              <w:rPr>
                <w:rFonts w:hint="eastAsia"/>
                <w:color w:val="auto"/>
              </w:rPr>
              <w:t>（</w:t>
            </w:r>
            <w:r>
              <w:rPr>
                <w:color w:val="auto"/>
              </w:rPr>
              <w:t>2</w:t>
            </w:r>
            <w:r>
              <w:rPr>
                <w:rFonts w:hint="eastAsia"/>
                <w:color w:val="auto"/>
              </w:rPr>
              <w:t>）输水线路</w:t>
            </w:r>
          </w:p>
          <w:p w14:paraId="67C4DDAC">
            <w:pPr>
              <w:ind w:firstLine="480"/>
              <w:rPr>
                <w:color w:val="auto"/>
              </w:rPr>
            </w:pPr>
            <w:r>
              <w:rPr>
                <w:rFonts w:hint="eastAsia"/>
                <w:color w:val="auto"/>
              </w:rPr>
              <w:t>本工程输水管穿越季节性冲沟段较多，以埋管布置，冲沟雨天有水，晴天干涸，工程规模较小，施工工艺简单，枯季施工，穿越季节性冲沟的输水管不存在施工导流。</w:t>
            </w:r>
          </w:p>
          <w:p w14:paraId="0678FDA2">
            <w:pPr>
              <w:ind w:firstLine="480"/>
              <w:rPr>
                <w:color w:val="auto"/>
              </w:rPr>
            </w:pPr>
            <w:r>
              <w:rPr>
                <w:rFonts w:hint="eastAsia"/>
                <w:color w:val="auto"/>
              </w:rPr>
              <w:t>（</w:t>
            </w:r>
            <w:r>
              <w:rPr>
                <w:color w:val="auto"/>
              </w:rPr>
              <w:t>3</w:t>
            </w:r>
            <w:r>
              <w:rPr>
                <w:rFonts w:hint="eastAsia"/>
                <w:color w:val="auto"/>
              </w:rPr>
              <w:t>）泵站</w:t>
            </w:r>
          </w:p>
          <w:p w14:paraId="6AA6E3C6">
            <w:pPr>
              <w:ind w:firstLine="480"/>
              <w:rPr>
                <w:color w:val="auto"/>
              </w:rPr>
            </w:pPr>
            <w:r>
              <w:rPr>
                <w:rFonts w:hint="eastAsia"/>
                <w:color w:val="auto"/>
              </w:rPr>
              <w:t>加压泵站、取水泵房位于岸坡上，仅引（取）水管进入水域中，土石方开挖时无需进行导流。</w:t>
            </w:r>
          </w:p>
          <w:p w14:paraId="38B5EC14">
            <w:pPr>
              <w:ind w:firstLine="480"/>
              <w:rPr>
                <w:color w:val="auto"/>
              </w:rPr>
            </w:pPr>
            <w:r>
              <w:rPr>
                <w:rFonts w:hint="eastAsia"/>
                <w:color w:val="auto"/>
              </w:rPr>
              <w:t>经分析，本工程施工无需设置施工导流方案。</w:t>
            </w:r>
          </w:p>
          <w:p w14:paraId="49071018">
            <w:pPr>
              <w:ind w:firstLine="482"/>
              <w:rPr>
                <w:b/>
                <w:bCs/>
                <w:color w:val="auto"/>
              </w:rPr>
            </w:pPr>
            <w:r>
              <w:rPr>
                <w:rFonts w:hint="eastAsia"/>
                <w:b/>
                <w:bCs/>
                <w:color w:val="auto"/>
              </w:rPr>
              <w:t>2、</w:t>
            </w:r>
            <w:r>
              <w:rPr>
                <w:b/>
                <w:bCs/>
                <w:color w:val="auto"/>
              </w:rPr>
              <w:t>水池施工</w:t>
            </w:r>
          </w:p>
          <w:p w14:paraId="2F013EAA">
            <w:pPr>
              <w:ind w:firstLine="480"/>
              <w:rPr>
                <w:color w:val="auto"/>
              </w:rPr>
            </w:pPr>
            <w:r>
              <w:rPr>
                <w:color w:val="auto"/>
              </w:rPr>
              <w:t>（1）施工程序</w:t>
            </w:r>
          </w:p>
          <w:p w14:paraId="5DCDC058">
            <w:pPr>
              <w:ind w:firstLine="480"/>
              <w:rPr>
                <w:color w:val="auto"/>
              </w:rPr>
            </w:pPr>
            <w:r>
              <w:rPr>
                <w:color w:val="auto"/>
              </w:rPr>
              <w:t>测量放线→基础开挖、基础处理→混凝土浇筑→土石方回填→完工。</w:t>
            </w:r>
          </w:p>
          <w:p w14:paraId="3958DFD6">
            <w:pPr>
              <w:ind w:firstLine="480"/>
              <w:rPr>
                <w:color w:val="auto"/>
              </w:rPr>
            </w:pPr>
            <w:r>
              <w:rPr>
                <w:color w:val="auto"/>
              </w:rPr>
              <w:t>（2）施工方法</w:t>
            </w:r>
          </w:p>
          <w:p w14:paraId="218FF5DA">
            <w:pPr>
              <w:ind w:firstLine="480"/>
              <w:rPr>
                <w:color w:val="auto"/>
              </w:rPr>
            </w:pPr>
            <w:r>
              <w:rPr>
                <w:color w:val="auto"/>
              </w:rPr>
              <w:t>土石方开挖：自上而下进行，土方采用1.0m³挖掘机开挖，石方采用</w:t>
            </w:r>
            <w:r>
              <w:rPr>
                <w:rFonts w:hint="eastAsia"/>
                <w:color w:val="auto"/>
              </w:rPr>
              <w:t>挖掘机破碎锤破碎开挖</w:t>
            </w:r>
            <w:r>
              <w:rPr>
                <w:color w:val="auto"/>
              </w:rPr>
              <w:t>，渣料由1.0m³挖掘机装5t～10t自卸汽车运至场地平整区域。</w:t>
            </w:r>
          </w:p>
          <w:p w14:paraId="2AD76F42">
            <w:pPr>
              <w:ind w:firstLine="480"/>
              <w:rPr>
                <w:color w:val="auto"/>
              </w:rPr>
            </w:pPr>
            <w:r>
              <w:rPr>
                <w:color w:val="auto"/>
              </w:rPr>
              <w:t>混凝土浇筑：采用0.</w:t>
            </w:r>
            <w:r>
              <w:rPr>
                <w:rFonts w:hint="eastAsia"/>
                <w:color w:val="auto"/>
              </w:rPr>
              <w:t>3</w:t>
            </w:r>
            <w:r>
              <w:rPr>
                <w:color w:val="auto"/>
              </w:rPr>
              <w:t>5m³强制式搅拌机制备混凝土，基础混凝土采用溜槽入仓，上部混凝土采用HB30型混凝土泵输送入仓，组合钢模施工，ZN35插入式振捣器振捣密实。</w:t>
            </w:r>
          </w:p>
          <w:p w14:paraId="25D40042">
            <w:pPr>
              <w:ind w:firstLine="480"/>
              <w:rPr>
                <w:color w:val="auto"/>
              </w:rPr>
            </w:pPr>
            <w:r>
              <w:rPr>
                <w:color w:val="auto"/>
              </w:rPr>
              <w:t>土石渣回填：采用堆置于附近的开挖料，人工配合1m³挖掘机回填，分层填筑，并采用HY120型蛙式打夯机夯实。</w:t>
            </w:r>
          </w:p>
          <w:p w14:paraId="511AB02E">
            <w:pPr>
              <w:ind w:firstLine="482"/>
              <w:rPr>
                <w:b/>
                <w:bCs/>
                <w:color w:val="auto"/>
              </w:rPr>
            </w:pPr>
            <w:r>
              <w:rPr>
                <w:rFonts w:hint="eastAsia"/>
                <w:b/>
                <w:bCs/>
                <w:color w:val="auto"/>
              </w:rPr>
              <w:t>3、</w:t>
            </w:r>
            <w:r>
              <w:rPr>
                <w:b/>
                <w:bCs/>
                <w:color w:val="auto"/>
              </w:rPr>
              <w:t>泵站施工</w:t>
            </w:r>
          </w:p>
          <w:p w14:paraId="07E5A424">
            <w:pPr>
              <w:ind w:firstLine="480"/>
              <w:rPr>
                <w:color w:val="auto"/>
              </w:rPr>
            </w:pPr>
            <w:r>
              <w:rPr>
                <w:color w:val="auto"/>
              </w:rPr>
              <w:t>（1）施工程序</w:t>
            </w:r>
          </w:p>
          <w:p w14:paraId="0FD69AE0">
            <w:pPr>
              <w:ind w:firstLine="480"/>
              <w:rPr>
                <w:color w:val="auto"/>
              </w:rPr>
            </w:pPr>
            <w:r>
              <w:rPr>
                <w:color w:val="auto"/>
              </w:rPr>
              <w:t>测量放线→基础开挖、基础处理→混凝土浇筑→土石方回填→泵站机组安装→机电设备调试→完工。</w:t>
            </w:r>
          </w:p>
          <w:p w14:paraId="370033C8">
            <w:pPr>
              <w:ind w:firstLine="480"/>
              <w:rPr>
                <w:color w:val="auto"/>
              </w:rPr>
            </w:pPr>
            <w:r>
              <w:rPr>
                <w:color w:val="auto"/>
              </w:rPr>
              <w:t>（2）施工方法</w:t>
            </w:r>
          </w:p>
          <w:p w14:paraId="1DCF402C">
            <w:pPr>
              <w:ind w:firstLine="480"/>
              <w:rPr>
                <w:color w:val="auto"/>
              </w:rPr>
            </w:pPr>
            <w:r>
              <w:rPr>
                <w:color w:val="auto"/>
              </w:rPr>
              <w:t>土石方开挖：自上而下分层开挖，土方采用1m³挖掘机开挖，石方采用</w:t>
            </w:r>
            <w:r>
              <w:rPr>
                <w:rFonts w:hint="eastAsia"/>
                <w:color w:val="auto"/>
              </w:rPr>
              <w:t>挖掘机破碎锤破碎开挖</w:t>
            </w:r>
            <w:r>
              <w:rPr>
                <w:color w:val="auto"/>
              </w:rPr>
              <w:t>。部分开挖料就近堆放作为土方回填用料，剩余部分采用1m³挖掘机挖装12t自卸汽车运至场地平整区域。</w:t>
            </w:r>
          </w:p>
          <w:p w14:paraId="32DD9A86">
            <w:pPr>
              <w:ind w:firstLine="480"/>
              <w:rPr>
                <w:color w:val="auto"/>
              </w:rPr>
            </w:pPr>
            <w:r>
              <w:rPr>
                <w:color w:val="auto"/>
              </w:rPr>
              <w:t>钢筋制安：钢筋在加工厂加工完成，10t载重汽车运输至施工区附近，人工抬至工作面安装。</w:t>
            </w:r>
          </w:p>
          <w:p w14:paraId="7A7DC58B">
            <w:pPr>
              <w:ind w:firstLine="480"/>
              <w:rPr>
                <w:color w:val="auto"/>
              </w:rPr>
            </w:pPr>
            <w:r>
              <w:rPr>
                <w:color w:val="auto"/>
              </w:rPr>
              <w:t>混凝土浇筑：采用0.</w:t>
            </w:r>
            <w:r>
              <w:rPr>
                <w:rFonts w:hint="eastAsia"/>
                <w:color w:val="auto"/>
              </w:rPr>
              <w:t>3</w:t>
            </w:r>
            <w:r>
              <w:rPr>
                <w:color w:val="auto"/>
              </w:rPr>
              <w:t>5m³</w:t>
            </w:r>
            <w:r>
              <w:rPr>
                <w:rFonts w:hint="eastAsia"/>
                <w:color w:val="auto"/>
              </w:rPr>
              <w:t>，</w:t>
            </w:r>
            <w:r>
              <w:rPr>
                <w:color w:val="auto"/>
              </w:rPr>
              <w:t>强制式搅拌机制备混凝土，基础混凝土采用溜槽入仓，上部混凝土采用HB30型混凝土泵输送入仓，组合钢模施工，ZN35插入式振捣器振捣密实。</w:t>
            </w:r>
          </w:p>
          <w:p w14:paraId="46104E8C">
            <w:pPr>
              <w:ind w:firstLine="480"/>
              <w:rPr>
                <w:color w:val="auto"/>
              </w:rPr>
            </w:pPr>
            <w:r>
              <w:rPr>
                <w:color w:val="auto"/>
              </w:rPr>
              <w:t>土石渣回填：采用堆置于附近的开挖料，人工配合1m³挖掘机回填，分层填筑，并采用HY120型蛙式打夯机夯实。</w:t>
            </w:r>
          </w:p>
          <w:p w14:paraId="7AA21DCF">
            <w:pPr>
              <w:ind w:firstLine="480"/>
              <w:rPr>
                <w:color w:val="auto"/>
              </w:rPr>
            </w:pPr>
            <w:r>
              <w:rPr>
                <w:color w:val="auto"/>
              </w:rPr>
              <w:t>机电设备安装：当泵站厂房的土建施工达到厂房起重设备的安装条件后，先安装厂房的起重设备，然后利用厂房起重设备进行各部件及设备的吊装，人工配合安装。</w:t>
            </w:r>
          </w:p>
          <w:p w14:paraId="385E7CF2">
            <w:pPr>
              <w:ind w:firstLine="482"/>
              <w:rPr>
                <w:b/>
                <w:bCs/>
                <w:color w:val="auto"/>
              </w:rPr>
            </w:pPr>
            <w:r>
              <w:rPr>
                <w:rFonts w:hint="eastAsia"/>
                <w:b/>
                <w:bCs/>
                <w:color w:val="auto"/>
              </w:rPr>
              <w:t>4、</w:t>
            </w:r>
            <w:r>
              <w:rPr>
                <w:b/>
                <w:bCs/>
                <w:color w:val="auto"/>
              </w:rPr>
              <w:t>管道施工</w:t>
            </w:r>
          </w:p>
          <w:p w14:paraId="1BEC1560">
            <w:pPr>
              <w:ind w:firstLine="480"/>
              <w:rPr>
                <w:color w:val="auto"/>
              </w:rPr>
            </w:pPr>
            <w:r>
              <w:rPr>
                <w:color w:val="auto"/>
              </w:rPr>
              <w:t>（1）施工程序</w:t>
            </w:r>
          </w:p>
          <w:p w14:paraId="4AFCC5F6">
            <w:pPr>
              <w:ind w:firstLine="480"/>
              <w:rPr>
                <w:color w:val="auto"/>
              </w:rPr>
            </w:pPr>
            <w:r>
              <w:rPr>
                <w:color w:val="auto"/>
              </w:rPr>
              <w:t>测量放线→基础开挖、基础处理或管槽支护→混凝土浇筑→管道安装→埋管段土石方回填→完工。</w:t>
            </w:r>
          </w:p>
          <w:p w14:paraId="5E435026">
            <w:pPr>
              <w:ind w:firstLine="480"/>
              <w:rPr>
                <w:color w:val="auto"/>
              </w:rPr>
            </w:pPr>
            <w:r>
              <w:rPr>
                <w:color w:val="auto"/>
              </w:rPr>
              <w:t>（2）施工方法</w:t>
            </w:r>
          </w:p>
          <w:p w14:paraId="57669D37">
            <w:pPr>
              <w:ind w:firstLine="480"/>
              <w:rPr>
                <w:color w:val="auto"/>
              </w:rPr>
            </w:pPr>
            <w:r>
              <w:rPr>
                <w:color w:val="auto"/>
              </w:rPr>
              <w:t>土石方开挖：土方由人工配合1.0m³挖掘机开挖，石方采用</w:t>
            </w:r>
            <w:r>
              <w:rPr>
                <w:rFonts w:hint="eastAsia"/>
                <w:color w:val="auto"/>
              </w:rPr>
              <w:t>挖掘机破碎锤破碎开挖</w:t>
            </w:r>
            <w:r>
              <w:rPr>
                <w:color w:val="auto"/>
              </w:rPr>
              <w:t>，渣料除作为土石方回填利用外，剩余部分由1m³挖掘机装5～12t自卸汽车运至场地平整区域。</w:t>
            </w:r>
          </w:p>
          <w:p w14:paraId="16AA37E6">
            <w:pPr>
              <w:ind w:firstLine="480"/>
              <w:rPr>
                <w:color w:val="auto"/>
              </w:rPr>
            </w:pPr>
            <w:r>
              <w:rPr>
                <w:color w:val="auto"/>
              </w:rPr>
              <w:t>砂、碎石垫层回填：砂碎石垫层料由外购供应，至管道平均运距18km，10t自卸汽车运输至管道沿线，人工回填平料。</w:t>
            </w:r>
          </w:p>
          <w:p w14:paraId="1B2F4222">
            <w:pPr>
              <w:ind w:firstLine="480"/>
              <w:rPr>
                <w:color w:val="auto"/>
              </w:rPr>
            </w:pPr>
            <w:r>
              <w:rPr>
                <w:color w:val="auto"/>
              </w:rPr>
              <w:t>混凝土浇筑：混凝土骨料外购供应，5～12t自卸汽车运至使用地点。混凝土由0.35m³移动强制式搅拌机就近拌和，由人工推胶轮车运输，人工入仓，钢模施工，插入式振捣器振捣。</w:t>
            </w:r>
          </w:p>
          <w:p w14:paraId="7F08C214">
            <w:pPr>
              <w:ind w:firstLine="480"/>
              <w:rPr>
                <w:color w:val="auto"/>
              </w:rPr>
            </w:pPr>
            <w:r>
              <w:rPr>
                <w:color w:val="auto"/>
              </w:rPr>
              <w:t>钢管安装：钢管在厂家制造外购供应，进行防腐处理后运输至施工区附近，管节再由5～10t载重汽车运至施工现场附近，地形平缓段由人工配合1.0m³挖掘机吊装就位，陡坡段采用10t～15t卷扬机牵引，轨道滑车运输，人工利用三角爬杆就位，逐节安装，并进行钢管防腐处理。安装完成后还需对管道进行防腐处理。</w:t>
            </w:r>
          </w:p>
          <w:p w14:paraId="0E0A6E28">
            <w:pPr>
              <w:ind w:firstLine="480"/>
              <w:rPr>
                <w:color w:val="auto"/>
              </w:rPr>
            </w:pPr>
            <w:r>
              <w:rPr>
                <w:color w:val="auto"/>
              </w:rPr>
              <w:t>PE管安装：PE管在加工厂制成管节，15t载货汽车运输至施工现场，采用5t卷扬机牵引，轨道滑车运输至安装位置，人工利用三角爬杆就位，逐节安装。</w:t>
            </w:r>
          </w:p>
          <w:p w14:paraId="4130B5CB">
            <w:pPr>
              <w:ind w:firstLine="480"/>
              <w:rPr>
                <w:color w:val="auto"/>
              </w:rPr>
            </w:pPr>
            <w:r>
              <w:rPr>
                <w:color w:val="auto"/>
              </w:rPr>
              <w:t>土石方回填：采用堆放在附近的开挖料或正在开挖的槽挖料，人工配合1m³的挖机回填，分层填筑，并采用HY120型蛙式打夯机夯实。</w:t>
            </w:r>
          </w:p>
          <w:p w14:paraId="04BB0E9B">
            <w:pPr>
              <w:ind w:firstLine="482"/>
              <w:rPr>
                <w:b/>
                <w:bCs/>
                <w:color w:val="auto"/>
              </w:rPr>
            </w:pPr>
            <w:r>
              <w:rPr>
                <w:rFonts w:hint="eastAsia"/>
                <w:b/>
                <w:bCs/>
                <w:color w:val="auto"/>
              </w:rPr>
              <w:t>5、机电设备和金属结构安装</w:t>
            </w:r>
          </w:p>
          <w:p w14:paraId="172C0C54">
            <w:pPr>
              <w:ind w:firstLine="482"/>
              <w:rPr>
                <w:b/>
                <w:color w:val="auto"/>
              </w:rPr>
            </w:pPr>
            <w:r>
              <w:rPr>
                <w:rFonts w:hint="eastAsia"/>
                <w:b/>
                <w:color w:val="auto"/>
              </w:rPr>
              <w:t>（1）水泵安装</w:t>
            </w:r>
          </w:p>
          <w:p w14:paraId="0FE1B8F4">
            <w:pPr>
              <w:ind w:firstLine="480"/>
              <w:rPr>
                <w:color w:val="auto"/>
              </w:rPr>
            </w:pPr>
            <w:r>
              <w:rPr>
                <w:rFonts w:hint="eastAsia"/>
                <w:color w:val="auto"/>
              </w:rPr>
              <w:t>泵站内的主要用电设备为水泵，配套设备主要有：套筒、井盖及拍门。</w:t>
            </w:r>
          </w:p>
          <w:p w14:paraId="61811239">
            <w:pPr>
              <w:ind w:firstLine="480"/>
              <w:rPr>
                <w:color w:val="auto"/>
              </w:rPr>
            </w:pPr>
            <w:r>
              <w:rPr>
                <w:rFonts w:hint="eastAsia"/>
                <w:color w:val="auto"/>
              </w:rPr>
              <w:t>①套筒、拍门、出水套管及井盖安装</w:t>
            </w:r>
          </w:p>
          <w:p w14:paraId="2FA50DA5">
            <w:pPr>
              <w:ind w:firstLine="480"/>
              <w:rPr>
                <w:color w:val="auto"/>
              </w:rPr>
            </w:pPr>
            <w:r>
              <w:rPr>
                <w:rFonts w:hint="eastAsia"/>
                <w:color w:val="auto"/>
              </w:rPr>
              <w:t>将水泵套筒底盘用吊车就位，调整其水平、高程，达到设计质量标准后进行套筒底盘的砼浇筑，等砼强度达到设计要求后进行套筒安装。将水泵套筒用吊车吊装就位，与底盘进行螺栓连接，检查平整度。然后进行出水套管与套筒的连接，将出水管用螺栓与水泵主体连接固定，安装过程中用木材做临时支撑，复测中心线符合设计要求后用钢筋焊接加工，拆除木材并支模进行砼浇筑。待出水管二期砼强度达到设计要求后安装拍门，拍门由吊车从吊装孔调入，采用手动葫芦及倒链安装及调整。</w:t>
            </w:r>
          </w:p>
          <w:p w14:paraId="6A092CDC">
            <w:pPr>
              <w:ind w:firstLine="480"/>
              <w:rPr>
                <w:color w:val="auto"/>
              </w:rPr>
            </w:pPr>
            <w:r>
              <w:rPr>
                <w:rFonts w:hint="eastAsia"/>
                <w:color w:val="auto"/>
              </w:rPr>
              <w:t>②水泵安装</w:t>
            </w:r>
          </w:p>
          <w:p w14:paraId="7D0ADD6B">
            <w:pPr>
              <w:ind w:firstLine="480"/>
              <w:rPr>
                <w:color w:val="auto"/>
              </w:rPr>
            </w:pPr>
            <w:r>
              <w:rPr>
                <w:rFonts w:hint="eastAsia"/>
                <w:color w:val="auto"/>
              </w:rPr>
              <w:t>套筒安装并检查合格后进行水泵安装及管线安装，将水泵用吊车吊装就位，调整机座水平、高程及滑动轨道垂直度偏差，达到设计要求后紧固螺栓，进行管线安装</w:t>
            </w:r>
          </w:p>
          <w:p w14:paraId="24DD487C">
            <w:pPr>
              <w:ind w:firstLine="482"/>
              <w:rPr>
                <w:b/>
                <w:color w:val="auto"/>
              </w:rPr>
            </w:pPr>
            <w:r>
              <w:rPr>
                <w:rFonts w:hint="eastAsia"/>
                <w:b/>
                <w:color w:val="auto"/>
              </w:rPr>
              <w:t>（2）变压器的施工</w:t>
            </w:r>
          </w:p>
          <w:p w14:paraId="58328534">
            <w:pPr>
              <w:ind w:firstLine="480"/>
              <w:rPr>
                <w:color w:val="auto"/>
              </w:rPr>
            </w:pPr>
            <w:r>
              <w:rPr>
                <w:rFonts w:hint="eastAsia"/>
                <w:color w:val="auto"/>
              </w:rPr>
              <w:t>变压器的一般安装工序：开箱检查→本体密封检验→绝缘判定→设备就位→器身检查→附件安装→滤油→注油→整体密封试验。</w:t>
            </w:r>
          </w:p>
          <w:p w14:paraId="252CF2A9">
            <w:pPr>
              <w:ind w:firstLine="482"/>
              <w:rPr>
                <w:b/>
                <w:color w:val="auto"/>
              </w:rPr>
            </w:pPr>
            <w:r>
              <w:rPr>
                <w:rFonts w:hint="eastAsia"/>
                <w:b/>
                <w:color w:val="auto"/>
              </w:rPr>
              <w:t>（3）母线安装</w:t>
            </w:r>
          </w:p>
          <w:p w14:paraId="4865FDE8">
            <w:pPr>
              <w:ind w:firstLine="480"/>
              <w:rPr>
                <w:color w:val="auto"/>
              </w:rPr>
            </w:pPr>
            <w:r>
              <w:rPr>
                <w:rFonts w:hint="eastAsia"/>
                <w:color w:val="auto"/>
              </w:rPr>
              <w:t>封闭母线的安装程序：核对设备位置及支架位置尺寸、封闭母线开箱检查及核对尺寸→封闭母线吊装→封闭母线找正固定→导体焊接→外壳焊接→电气试验→封闭母线与设备连接。</w:t>
            </w:r>
          </w:p>
          <w:p w14:paraId="0BCA962F">
            <w:pPr>
              <w:ind w:firstLine="482"/>
              <w:rPr>
                <w:b/>
                <w:color w:val="auto"/>
              </w:rPr>
            </w:pPr>
            <w:r>
              <w:rPr>
                <w:rFonts w:hint="eastAsia"/>
                <w:b/>
                <w:color w:val="auto"/>
              </w:rPr>
              <w:t>（4）阀门安装</w:t>
            </w:r>
          </w:p>
          <w:p w14:paraId="75F047F0">
            <w:pPr>
              <w:ind w:firstLine="480"/>
              <w:rPr>
                <w:color w:val="auto"/>
              </w:rPr>
            </w:pPr>
            <w:r>
              <w:rPr>
                <w:rFonts w:hint="eastAsia"/>
                <w:color w:val="auto"/>
              </w:rPr>
              <w:t>当阀门与金属管道以法兰或螺纹方式连接时，阀门应在关闭状态下安装；以焊接方式连接时，阀门不得关闭。</w:t>
            </w:r>
          </w:p>
          <w:p w14:paraId="22E7190C">
            <w:pPr>
              <w:ind w:firstLine="482"/>
              <w:rPr>
                <w:b/>
                <w:bCs/>
                <w:color w:val="auto"/>
              </w:rPr>
            </w:pPr>
            <w:r>
              <w:rPr>
                <w:rFonts w:hint="eastAsia"/>
                <w:b/>
                <w:bCs/>
                <w:color w:val="auto"/>
              </w:rPr>
              <w:t>6、施工机械</w:t>
            </w:r>
          </w:p>
          <w:p w14:paraId="04CF35CB">
            <w:pPr>
              <w:ind w:firstLine="480"/>
              <w:rPr>
                <w:color w:val="auto"/>
              </w:rPr>
            </w:pPr>
            <w:r>
              <w:rPr>
                <w:rFonts w:hint="eastAsia"/>
                <w:color w:val="auto"/>
              </w:rPr>
              <w:t>主要施工机械设备如下表所示。</w:t>
            </w:r>
          </w:p>
          <w:p w14:paraId="67B27566">
            <w:pPr>
              <w:pStyle w:val="17"/>
              <w:rPr>
                <w:rFonts w:hint="default"/>
                <w:color w:val="auto"/>
              </w:rPr>
            </w:pPr>
            <w:r>
              <w:rPr>
                <w:color w:val="auto"/>
              </w:rPr>
              <w:t>表2-7主要施工机械一览表</w:t>
            </w:r>
          </w:p>
          <w:tbl>
            <w:tblPr>
              <w:tblStyle w:val="1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041"/>
              <w:gridCol w:w="2041"/>
              <w:gridCol w:w="2041"/>
            </w:tblGrid>
            <w:tr w14:paraId="1B4345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66747AB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机械名称</w:t>
                  </w:r>
                </w:p>
              </w:tc>
              <w:tc>
                <w:tcPr>
                  <w:tcW w:w="1040" w:type="dxa"/>
                  <w:vAlign w:val="center"/>
                </w:tcPr>
                <w:p w14:paraId="1D94DF5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规格型号</w:t>
                  </w:r>
                </w:p>
              </w:tc>
              <w:tc>
                <w:tcPr>
                  <w:tcW w:w="1040" w:type="dxa"/>
                  <w:vAlign w:val="center"/>
                </w:tcPr>
                <w:p w14:paraId="734958D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单位</w:t>
                  </w:r>
                </w:p>
              </w:tc>
              <w:tc>
                <w:tcPr>
                  <w:tcW w:w="1040" w:type="dxa"/>
                  <w:vAlign w:val="center"/>
                </w:tcPr>
                <w:p w14:paraId="5FE2CF9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数量</w:t>
                  </w:r>
                </w:p>
              </w:tc>
            </w:tr>
            <w:tr w14:paraId="3A3565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7ECE1151">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一、土石方机械</w:t>
                  </w:r>
                </w:p>
              </w:tc>
              <w:tc>
                <w:tcPr>
                  <w:tcW w:w="1040" w:type="dxa"/>
                  <w:vAlign w:val="center"/>
                </w:tcPr>
                <w:p w14:paraId="427B5E1E">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11D66AF6">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69D20C79">
                  <w:pPr>
                    <w:widowControl/>
                    <w:autoSpaceDE/>
                    <w:autoSpaceDN/>
                    <w:spacing w:line="240" w:lineRule="auto"/>
                    <w:ind w:firstLine="0" w:firstLineChars="0"/>
                    <w:jc w:val="center"/>
                    <w:rPr>
                      <w:rFonts w:hint="eastAsia" w:ascii="宋体" w:hAnsi="宋体" w:cs="宋体"/>
                      <w:color w:val="auto"/>
                      <w:kern w:val="0"/>
                      <w:sz w:val="21"/>
                      <w:szCs w:val="21"/>
                    </w:rPr>
                  </w:pPr>
                </w:p>
              </w:tc>
            </w:tr>
            <w:tr w14:paraId="3CFA92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2D75A7C3">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挖掘机</w:t>
                  </w:r>
                </w:p>
              </w:tc>
              <w:tc>
                <w:tcPr>
                  <w:tcW w:w="1040" w:type="dxa"/>
                  <w:vAlign w:val="center"/>
                </w:tcPr>
                <w:p w14:paraId="15B1B89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1m</w:t>
                  </w:r>
                  <w:r>
                    <w:rPr>
                      <w:rFonts w:eastAsia="等线"/>
                      <w:color w:val="auto"/>
                      <w:kern w:val="0"/>
                      <w:sz w:val="21"/>
                      <w:szCs w:val="21"/>
                      <w:vertAlign w:val="superscript"/>
                    </w:rPr>
                    <w:t>3</w:t>
                  </w:r>
                </w:p>
              </w:tc>
              <w:tc>
                <w:tcPr>
                  <w:tcW w:w="1040" w:type="dxa"/>
                  <w:vAlign w:val="center"/>
                </w:tcPr>
                <w:p w14:paraId="5E0316A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3789CFE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w:t>
                  </w:r>
                </w:p>
              </w:tc>
            </w:tr>
            <w:tr w14:paraId="723BA8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73C7F6A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蛙式打夯机</w:t>
                  </w:r>
                </w:p>
              </w:tc>
              <w:tc>
                <w:tcPr>
                  <w:tcW w:w="1040" w:type="dxa"/>
                  <w:vAlign w:val="center"/>
                </w:tcPr>
                <w:p w14:paraId="594E917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HY120</w:t>
                  </w:r>
                </w:p>
              </w:tc>
              <w:tc>
                <w:tcPr>
                  <w:tcW w:w="1040" w:type="dxa"/>
                  <w:vAlign w:val="center"/>
                </w:tcPr>
                <w:p w14:paraId="362EE3E3">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3FE93FA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w:t>
                  </w:r>
                </w:p>
              </w:tc>
            </w:tr>
            <w:tr w14:paraId="744B3A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75B792B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二、起重、运输设备</w:t>
                  </w:r>
                </w:p>
              </w:tc>
              <w:tc>
                <w:tcPr>
                  <w:tcW w:w="1040" w:type="dxa"/>
                  <w:vAlign w:val="center"/>
                </w:tcPr>
                <w:p w14:paraId="1E844B87">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545233D0">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709A8E1F">
                  <w:pPr>
                    <w:widowControl/>
                    <w:autoSpaceDE/>
                    <w:autoSpaceDN/>
                    <w:spacing w:line="240" w:lineRule="auto"/>
                    <w:ind w:firstLine="0" w:firstLineChars="0"/>
                    <w:jc w:val="center"/>
                    <w:rPr>
                      <w:rFonts w:hint="eastAsia" w:ascii="宋体" w:hAnsi="宋体" w:cs="宋体"/>
                      <w:color w:val="auto"/>
                      <w:kern w:val="0"/>
                      <w:sz w:val="21"/>
                      <w:szCs w:val="21"/>
                    </w:rPr>
                  </w:pPr>
                </w:p>
              </w:tc>
            </w:tr>
            <w:tr w14:paraId="5B4BD9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0501584F">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自卸汽车</w:t>
                  </w:r>
                </w:p>
              </w:tc>
              <w:tc>
                <w:tcPr>
                  <w:tcW w:w="1040" w:type="dxa"/>
                  <w:vAlign w:val="center"/>
                </w:tcPr>
                <w:p w14:paraId="1FA5863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w:t>
                  </w:r>
                  <w:r>
                    <w:rPr>
                      <w:rFonts w:ascii="宋体" w:hAnsi="宋体"/>
                      <w:color w:val="auto"/>
                      <w:kern w:val="0"/>
                      <w:sz w:val="21"/>
                      <w:szCs w:val="21"/>
                    </w:rPr>
                    <w:t>～</w:t>
                  </w:r>
                  <w:r>
                    <w:rPr>
                      <w:rFonts w:eastAsia="等线"/>
                      <w:color w:val="auto"/>
                      <w:kern w:val="0"/>
                      <w:sz w:val="21"/>
                      <w:szCs w:val="21"/>
                    </w:rPr>
                    <w:t>12t</w:t>
                  </w:r>
                </w:p>
              </w:tc>
              <w:tc>
                <w:tcPr>
                  <w:tcW w:w="1040" w:type="dxa"/>
                  <w:vAlign w:val="center"/>
                </w:tcPr>
                <w:p w14:paraId="2C1B030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辆</w:t>
                  </w:r>
                </w:p>
              </w:tc>
              <w:tc>
                <w:tcPr>
                  <w:tcW w:w="1040" w:type="dxa"/>
                  <w:vAlign w:val="center"/>
                </w:tcPr>
                <w:p w14:paraId="2350514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30</w:t>
                  </w:r>
                </w:p>
              </w:tc>
            </w:tr>
            <w:tr w14:paraId="53351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07E11E5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混凝土搅拌运输车</w:t>
                  </w:r>
                </w:p>
              </w:tc>
              <w:tc>
                <w:tcPr>
                  <w:tcW w:w="1040" w:type="dxa"/>
                  <w:vAlign w:val="center"/>
                </w:tcPr>
                <w:p w14:paraId="6256A19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 m</w:t>
                  </w:r>
                  <w:r>
                    <w:rPr>
                      <w:rFonts w:hint="eastAsia" w:eastAsia="等线"/>
                      <w:color w:val="auto"/>
                      <w:kern w:val="0"/>
                      <w:sz w:val="21"/>
                      <w:szCs w:val="21"/>
                      <w:vertAlign w:val="superscript"/>
                    </w:rPr>
                    <w:t>3</w:t>
                  </w:r>
                </w:p>
              </w:tc>
              <w:tc>
                <w:tcPr>
                  <w:tcW w:w="1040" w:type="dxa"/>
                  <w:vAlign w:val="center"/>
                </w:tcPr>
                <w:p w14:paraId="3082D6F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辆</w:t>
                  </w:r>
                </w:p>
              </w:tc>
              <w:tc>
                <w:tcPr>
                  <w:tcW w:w="1040" w:type="dxa"/>
                  <w:vAlign w:val="center"/>
                </w:tcPr>
                <w:p w14:paraId="267E37F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10</w:t>
                  </w:r>
                </w:p>
              </w:tc>
            </w:tr>
            <w:tr w14:paraId="0D825B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3645BE5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起重机</w:t>
                  </w:r>
                </w:p>
              </w:tc>
              <w:tc>
                <w:tcPr>
                  <w:tcW w:w="1040" w:type="dxa"/>
                  <w:vAlign w:val="center"/>
                </w:tcPr>
                <w:p w14:paraId="2CA32CA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w:t>
                  </w:r>
                  <w:r>
                    <w:rPr>
                      <w:rFonts w:ascii="宋体" w:hAnsi="宋体"/>
                      <w:color w:val="auto"/>
                      <w:kern w:val="0"/>
                      <w:sz w:val="21"/>
                      <w:szCs w:val="21"/>
                    </w:rPr>
                    <w:t>～</w:t>
                  </w:r>
                  <w:r>
                    <w:rPr>
                      <w:rFonts w:eastAsia="等线"/>
                      <w:color w:val="auto"/>
                      <w:kern w:val="0"/>
                      <w:sz w:val="21"/>
                      <w:szCs w:val="21"/>
                    </w:rPr>
                    <w:t>25t</w:t>
                  </w:r>
                </w:p>
              </w:tc>
              <w:tc>
                <w:tcPr>
                  <w:tcW w:w="1040" w:type="dxa"/>
                  <w:vAlign w:val="center"/>
                </w:tcPr>
                <w:p w14:paraId="0AF3D1F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46CBA4E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w:t>
                  </w:r>
                </w:p>
              </w:tc>
            </w:tr>
            <w:tr w14:paraId="724792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5D0AB8E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卷扬机</w:t>
                  </w:r>
                </w:p>
              </w:tc>
              <w:tc>
                <w:tcPr>
                  <w:tcW w:w="1040" w:type="dxa"/>
                  <w:vAlign w:val="center"/>
                </w:tcPr>
                <w:p w14:paraId="7F642F4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w:t>
                  </w:r>
                  <w:r>
                    <w:rPr>
                      <w:rFonts w:ascii="宋体" w:hAnsi="宋体"/>
                      <w:color w:val="auto"/>
                      <w:kern w:val="0"/>
                      <w:sz w:val="21"/>
                      <w:szCs w:val="21"/>
                    </w:rPr>
                    <w:t>～</w:t>
                  </w:r>
                  <w:r>
                    <w:rPr>
                      <w:rFonts w:eastAsia="等线"/>
                      <w:color w:val="auto"/>
                      <w:kern w:val="0"/>
                      <w:sz w:val="21"/>
                      <w:szCs w:val="21"/>
                    </w:rPr>
                    <w:t>20t</w:t>
                  </w:r>
                </w:p>
              </w:tc>
              <w:tc>
                <w:tcPr>
                  <w:tcW w:w="1040" w:type="dxa"/>
                  <w:vAlign w:val="center"/>
                </w:tcPr>
                <w:p w14:paraId="4177EF2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311E4B9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9</w:t>
                  </w:r>
                </w:p>
              </w:tc>
            </w:tr>
            <w:tr w14:paraId="3124BF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3ECA9D3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三、混凝土设备</w:t>
                  </w:r>
                </w:p>
              </w:tc>
              <w:tc>
                <w:tcPr>
                  <w:tcW w:w="1040" w:type="dxa"/>
                  <w:vAlign w:val="center"/>
                </w:tcPr>
                <w:p w14:paraId="7DFD6964">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7DC1268C">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75F0C78F">
                  <w:pPr>
                    <w:widowControl/>
                    <w:autoSpaceDE/>
                    <w:autoSpaceDN/>
                    <w:spacing w:line="240" w:lineRule="auto"/>
                    <w:ind w:firstLine="0" w:firstLineChars="0"/>
                    <w:jc w:val="center"/>
                    <w:rPr>
                      <w:rFonts w:hint="eastAsia" w:ascii="宋体" w:hAnsi="宋体" w:cs="宋体"/>
                      <w:color w:val="auto"/>
                      <w:kern w:val="0"/>
                      <w:sz w:val="21"/>
                      <w:szCs w:val="21"/>
                    </w:rPr>
                  </w:pPr>
                </w:p>
              </w:tc>
            </w:tr>
            <w:tr w14:paraId="3A6BC1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69C5D491">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混凝土泵</w:t>
                  </w:r>
                </w:p>
              </w:tc>
              <w:tc>
                <w:tcPr>
                  <w:tcW w:w="1040" w:type="dxa"/>
                  <w:vAlign w:val="center"/>
                </w:tcPr>
                <w:p w14:paraId="6578AE9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 xml:space="preserve">HBT30 </w:t>
                  </w:r>
                  <w:r>
                    <w:rPr>
                      <w:rFonts w:ascii="宋体" w:hAnsi="宋体"/>
                      <w:color w:val="auto"/>
                      <w:kern w:val="0"/>
                      <w:sz w:val="21"/>
                      <w:szCs w:val="21"/>
                    </w:rPr>
                    <w:t>型</w:t>
                  </w:r>
                </w:p>
              </w:tc>
              <w:tc>
                <w:tcPr>
                  <w:tcW w:w="1040" w:type="dxa"/>
                  <w:vAlign w:val="center"/>
                </w:tcPr>
                <w:p w14:paraId="61CFCB7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7BBDC64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11</w:t>
                  </w:r>
                </w:p>
              </w:tc>
            </w:tr>
            <w:tr w14:paraId="1B2695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52FE1C6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砂浆搅拌机</w:t>
                  </w:r>
                </w:p>
              </w:tc>
              <w:tc>
                <w:tcPr>
                  <w:tcW w:w="1040" w:type="dxa"/>
                  <w:vAlign w:val="center"/>
                </w:tcPr>
                <w:p w14:paraId="7994107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0.25 m</w:t>
                  </w:r>
                  <w:r>
                    <w:rPr>
                      <w:rFonts w:hint="eastAsia" w:eastAsia="等线"/>
                      <w:color w:val="auto"/>
                      <w:kern w:val="0"/>
                      <w:sz w:val="21"/>
                      <w:szCs w:val="21"/>
                      <w:vertAlign w:val="superscript"/>
                    </w:rPr>
                    <w:t>3</w:t>
                  </w:r>
                </w:p>
              </w:tc>
              <w:tc>
                <w:tcPr>
                  <w:tcW w:w="1040" w:type="dxa"/>
                  <w:vAlign w:val="center"/>
                </w:tcPr>
                <w:p w14:paraId="4049049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4C4200D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w:t>
                  </w:r>
                </w:p>
              </w:tc>
            </w:tr>
            <w:tr w14:paraId="644B9D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32307A2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插入式振捣器</w:t>
                  </w:r>
                </w:p>
              </w:tc>
              <w:tc>
                <w:tcPr>
                  <w:tcW w:w="1040" w:type="dxa"/>
                  <w:vAlign w:val="center"/>
                </w:tcPr>
                <w:p w14:paraId="08CBC62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2.2kW</w:t>
                  </w:r>
                </w:p>
              </w:tc>
              <w:tc>
                <w:tcPr>
                  <w:tcW w:w="1040" w:type="dxa"/>
                  <w:vAlign w:val="center"/>
                </w:tcPr>
                <w:p w14:paraId="0C7D635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个</w:t>
                  </w:r>
                </w:p>
              </w:tc>
              <w:tc>
                <w:tcPr>
                  <w:tcW w:w="1040" w:type="dxa"/>
                  <w:vAlign w:val="center"/>
                </w:tcPr>
                <w:p w14:paraId="4157E72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24</w:t>
                  </w:r>
                </w:p>
              </w:tc>
            </w:tr>
            <w:tr w14:paraId="7805C7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43D3276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混凝土搅拌机</w:t>
                  </w:r>
                </w:p>
              </w:tc>
              <w:tc>
                <w:tcPr>
                  <w:tcW w:w="1040" w:type="dxa"/>
                  <w:vAlign w:val="center"/>
                </w:tcPr>
                <w:p w14:paraId="169B4D7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0.35 m</w:t>
                  </w:r>
                  <w:r>
                    <w:rPr>
                      <w:rFonts w:hint="eastAsia" w:eastAsia="等线"/>
                      <w:color w:val="auto"/>
                      <w:kern w:val="0"/>
                      <w:sz w:val="21"/>
                      <w:szCs w:val="21"/>
                      <w:vertAlign w:val="superscript"/>
                    </w:rPr>
                    <w:t>3</w:t>
                  </w:r>
                </w:p>
              </w:tc>
              <w:tc>
                <w:tcPr>
                  <w:tcW w:w="1040" w:type="dxa"/>
                  <w:vAlign w:val="center"/>
                </w:tcPr>
                <w:p w14:paraId="5EF6DCA3">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3F7B4B5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w:t>
                  </w:r>
                </w:p>
              </w:tc>
            </w:tr>
            <w:tr w14:paraId="702BE6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10D0FD7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四、变电设备</w:t>
                  </w:r>
                </w:p>
              </w:tc>
              <w:tc>
                <w:tcPr>
                  <w:tcW w:w="1040" w:type="dxa"/>
                  <w:vAlign w:val="center"/>
                </w:tcPr>
                <w:p w14:paraId="3C97ACA5">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21C7128E">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6D1F988A">
                  <w:pPr>
                    <w:widowControl/>
                    <w:autoSpaceDE/>
                    <w:autoSpaceDN/>
                    <w:spacing w:line="240" w:lineRule="auto"/>
                    <w:ind w:firstLine="0" w:firstLineChars="0"/>
                    <w:jc w:val="center"/>
                    <w:rPr>
                      <w:rFonts w:hint="eastAsia" w:ascii="宋体" w:hAnsi="宋体" w:cs="宋体"/>
                      <w:color w:val="auto"/>
                      <w:kern w:val="0"/>
                      <w:sz w:val="21"/>
                      <w:szCs w:val="21"/>
                    </w:rPr>
                  </w:pPr>
                </w:p>
              </w:tc>
            </w:tr>
            <w:tr w14:paraId="62F52D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5F44622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变压器</w:t>
                  </w:r>
                </w:p>
              </w:tc>
              <w:tc>
                <w:tcPr>
                  <w:tcW w:w="1040" w:type="dxa"/>
                  <w:vAlign w:val="center"/>
                </w:tcPr>
                <w:p w14:paraId="5D76897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160kVA</w:t>
                  </w:r>
                </w:p>
              </w:tc>
              <w:tc>
                <w:tcPr>
                  <w:tcW w:w="1040" w:type="dxa"/>
                  <w:vAlign w:val="center"/>
                </w:tcPr>
                <w:p w14:paraId="2783D05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06DCE2C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w:t>
                  </w:r>
                </w:p>
              </w:tc>
            </w:tr>
            <w:tr w14:paraId="166127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72EF04E7">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柴油发电机</w:t>
                  </w:r>
                </w:p>
              </w:tc>
              <w:tc>
                <w:tcPr>
                  <w:tcW w:w="1040" w:type="dxa"/>
                  <w:vAlign w:val="center"/>
                </w:tcPr>
                <w:p w14:paraId="569C1A2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30kw</w:t>
                  </w:r>
                </w:p>
              </w:tc>
              <w:tc>
                <w:tcPr>
                  <w:tcW w:w="1040" w:type="dxa"/>
                  <w:vAlign w:val="center"/>
                </w:tcPr>
                <w:p w14:paraId="3DA3933F">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4754AC4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w:t>
                  </w:r>
                </w:p>
              </w:tc>
            </w:tr>
            <w:tr w14:paraId="6836B8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283C37E5">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五、供风设备</w:t>
                  </w:r>
                </w:p>
              </w:tc>
              <w:tc>
                <w:tcPr>
                  <w:tcW w:w="1040" w:type="dxa"/>
                  <w:vAlign w:val="center"/>
                </w:tcPr>
                <w:p w14:paraId="2939256F">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105DD39E">
                  <w:pPr>
                    <w:widowControl/>
                    <w:autoSpaceDE/>
                    <w:autoSpaceDN/>
                    <w:spacing w:line="240" w:lineRule="auto"/>
                    <w:ind w:firstLine="0" w:firstLineChars="0"/>
                    <w:jc w:val="center"/>
                    <w:rPr>
                      <w:rFonts w:hint="eastAsia" w:ascii="宋体" w:hAnsi="宋体" w:cs="宋体"/>
                      <w:color w:val="auto"/>
                      <w:kern w:val="0"/>
                      <w:sz w:val="21"/>
                      <w:szCs w:val="21"/>
                    </w:rPr>
                  </w:pPr>
                </w:p>
              </w:tc>
              <w:tc>
                <w:tcPr>
                  <w:tcW w:w="1040" w:type="dxa"/>
                  <w:vAlign w:val="center"/>
                </w:tcPr>
                <w:p w14:paraId="7A8C0207">
                  <w:pPr>
                    <w:widowControl/>
                    <w:autoSpaceDE/>
                    <w:autoSpaceDN/>
                    <w:spacing w:line="240" w:lineRule="auto"/>
                    <w:ind w:firstLine="0" w:firstLineChars="0"/>
                    <w:jc w:val="center"/>
                    <w:rPr>
                      <w:rFonts w:hint="eastAsia" w:ascii="宋体" w:hAnsi="宋体" w:cs="宋体"/>
                      <w:color w:val="auto"/>
                      <w:kern w:val="0"/>
                      <w:sz w:val="21"/>
                      <w:szCs w:val="21"/>
                    </w:rPr>
                  </w:pPr>
                </w:p>
              </w:tc>
            </w:tr>
            <w:tr w14:paraId="00F341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40" w:type="dxa"/>
                  <w:vAlign w:val="center"/>
                </w:tcPr>
                <w:p w14:paraId="1642D84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空压机</w:t>
                  </w:r>
                </w:p>
              </w:tc>
              <w:tc>
                <w:tcPr>
                  <w:tcW w:w="1040" w:type="dxa"/>
                  <w:vAlign w:val="center"/>
                </w:tcPr>
                <w:p w14:paraId="1D6FF32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 m</w:t>
                  </w:r>
                  <w:r>
                    <w:rPr>
                      <w:rFonts w:hint="eastAsia" w:eastAsia="等线"/>
                      <w:color w:val="auto"/>
                      <w:kern w:val="0"/>
                      <w:sz w:val="21"/>
                      <w:szCs w:val="21"/>
                      <w:vertAlign w:val="superscript"/>
                    </w:rPr>
                    <w:t>3</w:t>
                  </w:r>
                  <w:r>
                    <w:rPr>
                      <w:rFonts w:eastAsia="等线"/>
                      <w:color w:val="auto"/>
                      <w:kern w:val="0"/>
                      <w:sz w:val="21"/>
                      <w:szCs w:val="21"/>
                    </w:rPr>
                    <w:t>/min</w:t>
                  </w:r>
                </w:p>
              </w:tc>
              <w:tc>
                <w:tcPr>
                  <w:tcW w:w="1040" w:type="dxa"/>
                  <w:vAlign w:val="center"/>
                </w:tcPr>
                <w:p w14:paraId="6AD03DC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台</w:t>
                  </w:r>
                </w:p>
              </w:tc>
              <w:tc>
                <w:tcPr>
                  <w:tcW w:w="1040" w:type="dxa"/>
                  <w:vAlign w:val="center"/>
                </w:tcPr>
                <w:p w14:paraId="51DF5CA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16</w:t>
                  </w:r>
                </w:p>
              </w:tc>
            </w:tr>
          </w:tbl>
          <w:p w14:paraId="2DFD9995">
            <w:pPr>
              <w:ind w:firstLine="0" w:firstLineChars="0"/>
              <w:rPr>
                <w:b/>
                <w:bCs/>
                <w:color w:val="auto"/>
              </w:rPr>
            </w:pPr>
          </w:p>
          <w:p w14:paraId="48CE41D1">
            <w:pPr>
              <w:ind w:firstLine="482"/>
              <w:rPr>
                <w:b/>
                <w:bCs/>
                <w:color w:val="auto"/>
              </w:rPr>
            </w:pPr>
            <w:r>
              <w:rPr>
                <w:rFonts w:hint="eastAsia"/>
                <w:b/>
                <w:bCs/>
                <w:color w:val="auto"/>
              </w:rPr>
              <w:t>7、施工工期</w:t>
            </w:r>
          </w:p>
          <w:p w14:paraId="2BBFC8D7">
            <w:pPr>
              <w:ind w:firstLine="480"/>
              <w:rPr>
                <w:color w:val="auto"/>
              </w:rPr>
            </w:pPr>
            <w:r>
              <w:rPr>
                <w:rFonts w:hint="eastAsia"/>
                <w:color w:val="auto"/>
              </w:rPr>
              <w:t>工程建设全过程可划分为工程筹建期、工程准备期、主体工程施工期和工程完建期四个施工时段，工程施工总工期为后三项工期之和。</w:t>
            </w:r>
          </w:p>
          <w:p w14:paraId="2042CE7B">
            <w:pPr>
              <w:ind w:firstLine="480"/>
              <w:rPr>
                <w:b/>
                <w:bCs/>
                <w:color w:val="auto"/>
              </w:rPr>
            </w:pPr>
            <w:r>
              <w:rPr>
                <w:rFonts w:hint="eastAsia"/>
                <w:color w:val="auto"/>
              </w:rPr>
              <w:t>工程施工总工期初拟为10个月，跨2个年度。其中施工准备期1个月，主体工程施工期8个月，工程完建期1个月。</w:t>
            </w:r>
          </w:p>
          <w:p w14:paraId="27A199CE">
            <w:pPr>
              <w:ind w:firstLine="482"/>
              <w:rPr>
                <w:b/>
                <w:bCs/>
                <w:color w:val="auto"/>
              </w:rPr>
            </w:pPr>
            <w:r>
              <w:rPr>
                <w:rFonts w:hint="eastAsia"/>
                <w:b/>
                <w:bCs/>
                <w:color w:val="auto"/>
              </w:rPr>
              <w:t>8、</w:t>
            </w:r>
            <w:r>
              <w:rPr>
                <w:b/>
                <w:bCs/>
                <w:color w:val="auto"/>
              </w:rPr>
              <w:t>项目施工强度</w:t>
            </w:r>
          </w:p>
          <w:p w14:paraId="7D964B46">
            <w:pPr>
              <w:ind w:firstLine="480"/>
              <w:rPr>
                <w:color w:val="auto"/>
              </w:rPr>
            </w:pPr>
            <w:r>
              <w:rPr>
                <w:color w:val="auto"/>
              </w:rPr>
              <w:t>整个工程土石方开挖高峰强度</w:t>
            </w:r>
            <w:r>
              <w:rPr>
                <w:rFonts w:hint="eastAsia"/>
                <w:color w:val="auto"/>
              </w:rPr>
              <w:t>9817</w:t>
            </w:r>
            <w:r>
              <w:rPr>
                <w:color w:val="auto"/>
              </w:rPr>
              <w:t>m</w:t>
            </w:r>
            <w:r>
              <w:rPr>
                <w:rFonts w:hint="eastAsia"/>
                <w:color w:val="auto"/>
                <w:vertAlign w:val="superscript"/>
              </w:rPr>
              <w:t>3</w:t>
            </w:r>
            <w:r>
              <w:rPr>
                <w:color w:val="auto"/>
              </w:rPr>
              <w:t>/月</w:t>
            </w:r>
            <w:r>
              <w:rPr>
                <w:rFonts w:hint="eastAsia"/>
                <w:color w:val="auto"/>
              </w:rPr>
              <w:t>，</w:t>
            </w:r>
            <w:r>
              <w:rPr>
                <w:color w:val="auto"/>
              </w:rPr>
              <w:t>管道安装高峰强度</w:t>
            </w:r>
            <w:r>
              <w:rPr>
                <w:rFonts w:hint="eastAsia"/>
                <w:color w:val="auto"/>
              </w:rPr>
              <w:t>9329</w:t>
            </w:r>
            <w:r>
              <w:rPr>
                <w:color w:val="auto"/>
              </w:rPr>
              <w:t>m/月，土石方回填高峰强度</w:t>
            </w:r>
            <w:r>
              <w:rPr>
                <w:rFonts w:hint="eastAsia"/>
                <w:color w:val="auto"/>
              </w:rPr>
              <w:t>8604</w:t>
            </w:r>
            <w:r>
              <w:rPr>
                <w:color w:val="auto"/>
              </w:rPr>
              <w:t>m</w:t>
            </w:r>
            <w:r>
              <w:rPr>
                <w:rFonts w:hint="eastAsia"/>
                <w:color w:val="auto"/>
                <w:vertAlign w:val="superscript"/>
              </w:rPr>
              <w:t>3</w:t>
            </w:r>
            <w:r>
              <w:rPr>
                <w:color w:val="auto"/>
              </w:rPr>
              <w:t>/月。</w:t>
            </w:r>
          </w:p>
          <w:p w14:paraId="2E2B3BD3">
            <w:pPr>
              <w:ind w:firstLine="480"/>
              <w:rPr>
                <w:color w:val="auto"/>
              </w:rPr>
            </w:pPr>
            <w:r>
              <w:rPr>
                <w:color w:val="auto"/>
              </w:rPr>
              <w:t>整个工程的施工总工日为</w:t>
            </w:r>
            <w:r>
              <w:rPr>
                <w:rFonts w:hint="eastAsia"/>
                <w:color w:val="auto"/>
              </w:rPr>
              <w:t>50625</w:t>
            </w:r>
            <w:r>
              <w:rPr>
                <w:color w:val="auto"/>
              </w:rPr>
              <w:t>日，施工高峰人数为</w:t>
            </w:r>
            <w:r>
              <w:rPr>
                <w:rFonts w:hint="eastAsia"/>
                <w:color w:val="auto"/>
              </w:rPr>
              <w:t>50</w:t>
            </w:r>
            <w:r>
              <w:rPr>
                <w:color w:val="auto"/>
              </w:rPr>
              <w:t>人，施工平均人数为</w:t>
            </w:r>
            <w:r>
              <w:rPr>
                <w:rFonts w:hint="eastAsia"/>
                <w:color w:val="auto"/>
              </w:rPr>
              <w:t>38</w:t>
            </w:r>
            <w:r>
              <w:rPr>
                <w:color w:val="auto"/>
              </w:rPr>
              <w:t>人。</w:t>
            </w:r>
          </w:p>
          <w:p w14:paraId="0FA80FE1">
            <w:pPr>
              <w:ind w:firstLine="482"/>
              <w:rPr>
                <w:b/>
                <w:bCs/>
                <w:color w:val="auto"/>
              </w:rPr>
            </w:pPr>
            <w:r>
              <w:rPr>
                <w:rFonts w:hint="eastAsia"/>
                <w:b/>
                <w:bCs/>
                <w:color w:val="auto"/>
              </w:rPr>
              <w:t>9、土石方平衡</w:t>
            </w:r>
          </w:p>
          <w:p w14:paraId="29C5FF9C">
            <w:pPr>
              <w:ind w:firstLine="480"/>
              <w:rPr>
                <w:rFonts w:eastAsia="Times New Roman"/>
                <w:color w:val="auto"/>
              </w:rPr>
            </w:pPr>
            <w:r>
              <w:rPr>
                <w:color w:val="auto"/>
              </w:rPr>
              <w:t>本</w:t>
            </w:r>
            <w:r>
              <w:rPr>
                <w:rFonts w:hint="eastAsia"/>
                <w:color w:val="auto"/>
              </w:rPr>
              <w:t>工程土石方开挖总量8.89万m</w:t>
            </w:r>
            <w:r>
              <w:rPr>
                <w:color w:val="auto"/>
              </w:rPr>
              <w:t>³</w:t>
            </w:r>
            <w:r>
              <w:rPr>
                <w:rFonts w:hint="eastAsia"/>
                <w:color w:val="auto"/>
              </w:rPr>
              <w:t>（自然方，下同，其中表土剥离0.81万m</w:t>
            </w:r>
            <w:r>
              <w:rPr>
                <w:color w:val="auto"/>
              </w:rPr>
              <w:t>³</w:t>
            </w:r>
            <w:r>
              <w:rPr>
                <w:rFonts w:hint="eastAsia"/>
                <w:color w:val="auto"/>
              </w:rPr>
              <w:t>），填方总量8.89万m</w:t>
            </w:r>
            <w:r>
              <w:rPr>
                <w:color w:val="auto"/>
              </w:rPr>
              <w:t>³</w:t>
            </w:r>
            <w:r>
              <w:rPr>
                <w:rFonts w:hint="eastAsia"/>
                <w:color w:val="auto"/>
              </w:rPr>
              <w:t>（其中表土回覆0.81万m</w:t>
            </w:r>
            <w:r>
              <w:rPr>
                <w:color w:val="auto"/>
              </w:rPr>
              <w:t>³</w:t>
            </w:r>
            <w:r>
              <w:rPr>
                <w:rFonts w:hint="eastAsia"/>
                <w:color w:val="auto"/>
              </w:rPr>
              <w:t>），无借方，无弃方。</w:t>
            </w:r>
            <w:r>
              <w:rPr>
                <w:color w:val="auto"/>
                <w:spacing w:val="-5"/>
              </w:rPr>
              <w:t>土石方平衡表见</w:t>
            </w:r>
            <w:r>
              <w:rPr>
                <w:rFonts w:hint="eastAsia"/>
                <w:color w:val="auto"/>
                <w:spacing w:val="-5"/>
              </w:rPr>
              <w:t>下表。</w:t>
            </w:r>
          </w:p>
          <w:p w14:paraId="24A28007">
            <w:pPr>
              <w:pStyle w:val="17"/>
              <w:rPr>
                <w:rFonts w:hint="default"/>
                <w:color w:val="auto"/>
              </w:rPr>
            </w:pPr>
            <w:r>
              <w:rPr>
                <w:color w:val="auto"/>
              </w:rPr>
              <w:t>表2-8 土石方平衡分析表（单位：万m</w:t>
            </w:r>
            <w:r>
              <w:rPr>
                <w:rFonts w:hint="default"/>
                <w:color w:val="auto"/>
                <w:vertAlign w:val="superscript"/>
              </w:rPr>
              <w:t>3</w:t>
            </w:r>
            <w:r>
              <w:rPr>
                <w:color w:val="auto"/>
              </w:rPr>
              <w:t>，自然方）</w:t>
            </w:r>
          </w:p>
          <w:tbl>
            <w:tblPr>
              <w:tblStyle w:val="12"/>
              <w:tblW w:w="5000" w:type="pct"/>
              <w:tblInd w:w="0" w:type="dxa"/>
              <w:tblLayout w:type="fixed"/>
              <w:tblCellMar>
                <w:top w:w="0" w:type="dxa"/>
                <w:left w:w="108" w:type="dxa"/>
                <w:bottom w:w="0" w:type="dxa"/>
                <w:right w:w="108" w:type="dxa"/>
              </w:tblCellMar>
            </w:tblPr>
            <w:tblGrid>
              <w:gridCol w:w="576"/>
              <w:gridCol w:w="1559"/>
              <w:gridCol w:w="638"/>
              <w:gridCol w:w="638"/>
              <w:gridCol w:w="708"/>
              <w:gridCol w:w="1134"/>
              <w:gridCol w:w="709"/>
              <w:gridCol w:w="1276"/>
              <w:gridCol w:w="425"/>
              <w:gridCol w:w="501"/>
            </w:tblGrid>
            <w:tr w14:paraId="6648A3F3">
              <w:tblPrEx>
                <w:tblCellMar>
                  <w:top w:w="0" w:type="dxa"/>
                  <w:left w:w="108" w:type="dxa"/>
                  <w:bottom w:w="0" w:type="dxa"/>
                  <w:right w:w="108" w:type="dxa"/>
                </w:tblCellMar>
              </w:tblPrEx>
              <w:trPr>
                <w:trHeight w:val="20" w:hRule="atLeast"/>
              </w:trPr>
              <w:tc>
                <w:tcPr>
                  <w:tcW w:w="2135" w:type="dxa"/>
                  <w:gridSpan w:val="2"/>
                  <w:vMerge w:val="restart"/>
                  <w:tcBorders>
                    <w:top w:val="single" w:color="auto" w:sz="12" w:space="0"/>
                    <w:left w:val="nil"/>
                    <w:bottom w:val="single" w:color="000000" w:sz="8" w:space="0"/>
                    <w:right w:val="single" w:color="000000" w:sz="8" w:space="0"/>
                  </w:tcBorders>
                  <w:vAlign w:val="center"/>
                </w:tcPr>
                <w:p w14:paraId="76FE422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项目组成</w:t>
                  </w:r>
                </w:p>
              </w:tc>
              <w:tc>
                <w:tcPr>
                  <w:tcW w:w="638" w:type="dxa"/>
                  <w:vMerge w:val="restart"/>
                  <w:tcBorders>
                    <w:top w:val="single" w:color="auto" w:sz="12" w:space="0"/>
                    <w:left w:val="nil"/>
                    <w:right w:val="single" w:color="auto" w:sz="8" w:space="0"/>
                  </w:tcBorders>
                  <w:noWrap/>
                  <w:vAlign w:val="center"/>
                </w:tcPr>
                <w:p w14:paraId="133BB845">
                  <w:pPr>
                    <w:widowControl/>
                    <w:autoSpaceDE/>
                    <w:autoSpaceDN/>
                    <w:spacing w:line="240" w:lineRule="auto"/>
                    <w:ind w:firstLine="0" w:firstLineChars="0"/>
                    <w:jc w:val="left"/>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挖方</w:t>
                  </w:r>
                </w:p>
              </w:tc>
              <w:tc>
                <w:tcPr>
                  <w:tcW w:w="638" w:type="dxa"/>
                  <w:vMerge w:val="restart"/>
                  <w:tcBorders>
                    <w:top w:val="single" w:color="auto" w:sz="12" w:space="0"/>
                    <w:left w:val="nil"/>
                    <w:right w:val="nil"/>
                  </w:tcBorders>
                  <w:vAlign w:val="center"/>
                </w:tcPr>
                <w:p w14:paraId="7518DF3E">
                  <w:pPr>
                    <w:widowControl/>
                    <w:autoSpaceDE/>
                    <w:autoSpaceDN/>
                    <w:spacing w:line="240" w:lineRule="auto"/>
                    <w:ind w:firstLine="0" w:firstLineChars="0"/>
                    <w:jc w:val="left"/>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填方</w:t>
                  </w:r>
                </w:p>
              </w:tc>
              <w:tc>
                <w:tcPr>
                  <w:tcW w:w="1842" w:type="dxa"/>
                  <w:gridSpan w:val="2"/>
                  <w:tcBorders>
                    <w:top w:val="single" w:color="auto" w:sz="12" w:space="0"/>
                    <w:left w:val="single" w:color="auto" w:sz="8" w:space="0"/>
                    <w:bottom w:val="single" w:color="auto" w:sz="8" w:space="0"/>
                    <w:right w:val="single" w:color="000000" w:sz="8" w:space="0"/>
                  </w:tcBorders>
                  <w:noWrap/>
                  <w:vAlign w:val="center"/>
                </w:tcPr>
                <w:p w14:paraId="563945DB">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调入</w:t>
                  </w:r>
                </w:p>
              </w:tc>
              <w:tc>
                <w:tcPr>
                  <w:tcW w:w="1985" w:type="dxa"/>
                  <w:gridSpan w:val="2"/>
                  <w:tcBorders>
                    <w:top w:val="single" w:color="auto" w:sz="12" w:space="0"/>
                    <w:left w:val="nil"/>
                    <w:bottom w:val="single" w:color="auto" w:sz="8" w:space="0"/>
                    <w:right w:val="single" w:color="000000" w:sz="8" w:space="0"/>
                  </w:tcBorders>
                  <w:noWrap/>
                  <w:vAlign w:val="center"/>
                </w:tcPr>
                <w:p w14:paraId="6E39D7F8">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调出</w:t>
                  </w:r>
                </w:p>
              </w:tc>
              <w:tc>
                <w:tcPr>
                  <w:tcW w:w="425" w:type="dxa"/>
                  <w:vMerge w:val="restart"/>
                  <w:tcBorders>
                    <w:top w:val="single" w:color="auto" w:sz="12" w:space="0"/>
                    <w:left w:val="single" w:color="auto" w:sz="8" w:space="0"/>
                    <w:bottom w:val="single" w:color="000000" w:sz="8" w:space="0"/>
                    <w:right w:val="single" w:color="auto" w:sz="8" w:space="0"/>
                  </w:tcBorders>
                  <w:noWrap/>
                  <w:vAlign w:val="center"/>
                </w:tcPr>
                <w:p w14:paraId="3C1F3723">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借方</w:t>
                  </w:r>
                </w:p>
              </w:tc>
              <w:tc>
                <w:tcPr>
                  <w:tcW w:w="501" w:type="dxa"/>
                  <w:vMerge w:val="restart"/>
                  <w:tcBorders>
                    <w:top w:val="single" w:color="auto" w:sz="12" w:space="0"/>
                    <w:left w:val="single" w:color="auto" w:sz="8" w:space="0"/>
                    <w:bottom w:val="single" w:color="000000" w:sz="8" w:space="0"/>
                    <w:right w:val="nil"/>
                  </w:tcBorders>
                  <w:noWrap/>
                  <w:vAlign w:val="center"/>
                </w:tcPr>
                <w:p w14:paraId="1492FEE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余方</w:t>
                  </w:r>
                </w:p>
              </w:tc>
            </w:tr>
            <w:tr w14:paraId="509F2B1F">
              <w:tblPrEx>
                <w:tblCellMar>
                  <w:top w:w="0" w:type="dxa"/>
                  <w:left w:w="108" w:type="dxa"/>
                  <w:bottom w:w="0" w:type="dxa"/>
                  <w:right w:w="108" w:type="dxa"/>
                </w:tblCellMar>
              </w:tblPrEx>
              <w:trPr>
                <w:trHeight w:val="20" w:hRule="atLeast"/>
              </w:trPr>
              <w:tc>
                <w:tcPr>
                  <w:tcW w:w="2135" w:type="dxa"/>
                  <w:gridSpan w:val="2"/>
                  <w:vMerge w:val="continue"/>
                  <w:tcBorders>
                    <w:top w:val="single" w:color="auto" w:sz="12" w:space="0"/>
                    <w:left w:val="nil"/>
                    <w:bottom w:val="single" w:color="000000" w:sz="8" w:space="0"/>
                    <w:right w:val="single" w:color="000000" w:sz="8" w:space="0"/>
                  </w:tcBorders>
                  <w:vAlign w:val="center"/>
                </w:tcPr>
                <w:p w14:paraId="0BC6938C">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638" w:type="dxa"/>
                  <w:vMerge w:val="continue"/>
                  <w:tcBorders>
                    <w:left w:val="nil"/>
                    <w:bottom w:val="single" w:color="auto" w:sz="8" w:space="0"/>
                    <w:right w:val="single" w:color="auto" w:sz="8" w:space="0"/>
                  </w:tcBorders>
                  <w:noWrap/>
                  <w:vAlign w:val="center"/>
                </w:tcPr>
                <w:p w14:paraId="5C171569">
                  <w:pPr>
                    <w:widowControl/>
                    <w:autoSpaceDE/>
                    <w:autoSpaceDN/>
                    <w:spacing w:line="240" w:lineRule="auto"/>
                    <w:ind w:firstLine="0" w:firstLineChars="0"/>
                    <w:jc w:val="center"/>
                    <w:rPr>
                      <w:rFonts w:hint="eastAsia" w:ascii="新宋体" w:hAnsi="新宋体" w:eastAsia="新宋体" w:cs="宋体"/>
                      <w:color w:val="auto"/>
                      <w:kern w:val="0"/>
                      <w:sz w:val="18"/>
                      <w:szCs w:val="18"/>
                    </w:rPr>
                  </w:pPr>
                </w:p>
              </w:tc>
              <w:tc>
                <w:tcPr>
                  <w:tcW w:w="638" w:type="dxa"/>
                  <w:vMerge w:val="continue"/>
                  <w:tcBorders>
                    <w:left w:val="nil"/>
                    <w:bottom w:val="single" w:color="auto" w:sz="8" w:space="0"/>
                    <w:right w:val="single" w:color="auto" w:sz="8" w:space="0"/>
                  </w:tcBorders>
                  <w:noWrap/>
                  <w:vAlign w:val="center"/>
                </w:tcPr>
                <w:p w14:paraId="7C9D35C8">
                  <w:pPr>
                    <w:widowControl/>
                    <w:autoSpaceDE/>
                    <w:autoSpaceDN/>
                    <w:spacing w:line="240" w:lineRule="auto"/>
                    <w:ind w:firstLine="0" w:firstLineChars="0"/>
                    <w:jc w:val="center"/>
                    <w:rPr>
                      <w:rFonts w:hint="eastAsia" w:ascii="新宋体" w:hAnsi="新宋体" w:eastAsia="新宋体" w:cs="宋体"/>
                      <w:color w:val="auto"/>
                      <w:kern w:val="0"/>
                      <w:sz w:val="18"/>
                      <w:szCs w:val="18"/>
                    </w:rPr>
                  </w:pPr>
                </w:p>
              </w:tc>
              <w:tc>
                <w:tcPr>
                  <w:tcW w:w="708" w:type="dxa"/>
                  <w:tcBorders>
                    <w:top w:val="nil"/>
                    <w:left w:val="nil"/>
                    <w:bottom w:val="single" w:color="auto" w:sz="8" w:space="0"/>
                    <w:right w:val="single" w:color="auto" w:sz="8" w:space="0"/>
                  </w:tcBorders>
                  <w:noWrap/>
                  <w:vAlign w:val="center"/>
                </w:tcPr>
                <w:p w14:paraId="3625354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数量</w:t>
                  </w:r>
                </w:p>
              </w:tc>
              <w:tc>
                <w:tcPr>
                  <w:tcW w:w="1134" w:type="dxa"/>
                  <w:tcBorders>
                    <w:top w:val="nil"/>
                    <w:left w:val="nil"/>
                    <w:bottom w:val="single" w:color="auto" w:sz="8" w:space="0"/>
                    <w:right w:val="single" w:color="auto" w:sz="8" w:space="0"/>
                  </w:tcBorders>
                  <w:noWrap/>
                  <w:vAlign w:val="center"/>
                </w:tcPr>
                <w:p w14:paraId="4C7A26A2">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来源</w:t>
                  </w:r>
                </w:p>
              </w:tc>
              <w:tc>
                <w:tcPr>
                  <w:tcW w:w="709" w:type="dxa"/>
                  <w:tcBorders>
                    <w:top w:val="nil"/>
                    <w:left w:val="nil"/>
                    <w:bottom w:val="single" w:color="auto" w:sz="8" w:space="0"/>
                    <w:right w:val="single" w:color="auto" w:sz="8" w:space="0"/>
                  </w:tcBorders>
                  <w:noWrap/>
                  <w:vAlign w:val="center"/>
                </w:tcPr>
                <w:p w14:paraId="0528EB06">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数量</w:t>
                  </w:r>
                </w:p>
              </w:tc>
              <w:tc>
                <w:tcPr>
                  <w:tcW w:w="1276" w:type="dxa"/>
                  <w:tcBorders>
                    <w:top w:val="nil"/>
                    <w:left w:val="nil"/>
                    <w:bottom w:val="single" w:color="auto" w:sz="8" w:space="0"/>
                    <w:right w:val="single" w:color="auto" w:sz="8" w:space="0"/>
                  </w:tcBorders>
                  <w:noWrap/>
                  <w:vAlign w:val="center"/>
                </w:tcPr>
                <w:p w14:paraId="0DCCF45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去向</w:t>
                  </w:r>
                </w:p>
              </w:tc>
              <w:tc>
                <w:tcPr>
                  <w:tcW w:w="425" w:type="dxa"/>
                  <w:vMerge w:val="continue"/>
                  <w:tcBorders>
                    <w:top w:val="single" w:color="auto" w:sz="12" w:space="0"/>
                    <w:left w:val="single" w:color="auto" w:sz="8" w:space="0"/>
                    <w:bottom w:val="single" w:color="000000" w:sz="8" w:space="0"/>
                    <w:right w:val="single" w:color="auto" w:sz="8" w:space="0"/>
                  </w:tcBorders>
                  <w:vAlign w:val="center"/>
                </w:tcPr>
                <w:p w14:paraId="0AC55E3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single" w:color="auto" w:sz="12" w:space="0"/>
                    <w:left w:val="single" w:color="auto" w:sz="8" w:space="0"/>
                    <w:bottom w:val="single" w:color="000000" w:sz="8" w:space="0"/>
                    <w:right w:val="nil"/>
                  </w:tcBorders>
                  <w:vAlign w:val="center"/>
                </w:tcPr>
                <w:p w14:paraId="50BBD31F">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464BDA89">
              <w:tblPrEx>
                <w:tblCellMar>
                  <w:top w:w="0" w:type="dxa"/>
                  <w:left w:w="108" w:type="dxa"/>
                  <w:bottom w:w="0" w:type="dxa"/>
                  <w:right w:w="108" w:type="dxa"/>
                </w:tblCellMar>
              </w:tblPrEx>
              <w:trPr>
                <w:trHeight w:val="20" w:hRule="atLeast"/>
              </w:trPr>
              <w:tc>
                <w:tcPr>
                  <w:tcW w:w="576" w:type="dxa"/>
                  <w:vMerge w:val="restart"/>
                  <w:tcBorders>
                    <w:top w:val="nil"/>
                    <w:left w:val="nil"/>
                    <w:bottom w:val="single" w:color="000000" w:sz="8" w:space="0"/>
                    <w:right w:val="single" w:color="auto" w:sz="8" w:space="0"/>
                  </w:tcBorders>
                  <w:vAlign w:val="center"/>
                </w:tcPr>
                <w:p w14:paraId="05461C75">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流里河水库片区</w:t>
                  </w:r>
                </w:p>
              </w:tc>
              <w:tc>
                <w:tcPr>
                  <w:tcW w:w="1559" w:type="dxa"/>
                  <w:tcBorders>
                    <w:top w:val="nil"/>
                    <w:left w:val="nil"/>
                    <w:bottom w:val="single" w:color="auto" w:sz="8" w:space="0"/>
                    <w:right w:val="single" w:color="auto" w:sz="8" w:space="0"/>
                  </w:tcBorders>
                  <w:noWrap/>
                  <w:vAlign w:val="center"/>
                </w:tcPr>
                <w:p w14:paraId="6DBE5FF6">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主体工程区</w:t>
                  </w:r>
                </w:p>
              </w:tc>
              <w:tc>
                <w:tcPr>
                  <w:tcW w:w="638" w:type="dxa"/>
                  <w:tcBorders>
                    <w:top w:val="nil"/>
                    <w:left w:val="nil"/>
                    <w:bottom w:val="single" w:color="auto" w:sz="8" w:space="0"/>
                    <w:right w:val="single" w:color="auto" w:sz="8" w:space="0"/>
                  </w:tcBorders>
                  <w:noWrap/>
                  <w:vAlign w:val="center"/>
                </w:tcPr>
                <w:p w14:paraId="3B7447B2">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4.02</w:t>
                  </w:r>
                </w:p>
              </w:tc>
              <w:tc>
                <w:tcPr>
                  <w:tcW w:w="638" w:type="dxa"/>
                  <w:tcBorders>
                    <w:top w:val="nil"/>
                    <w:left w:val="nil"/>
                    <w:bottom w:val="single" w:color="auto" w:sz="8" w:space="0"/>
                    <w:right w:val="single" w:color="auto" w:sz="8" w:space="0"/>
                  </w:tcBorders>
                  <w:noWrap/>
                  <w:vAlign w:val="center"/>
                </w:tcPr>
                <w:p w14:paraId="76EF3DB8">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4.1</w:t>
                  </w:r>
                </w:p>
              </w:tc>
              <w:tc>
                <w:tcPr>
                  <w:tcW w:w="708" w:type="dxa"/>
                  <w:tcBorders>
                    <w:top w:val="nil"/>
                    <w:left w:val="nil"/>
                    <w:bottom w:val="single" w:color="auto" w:sz="8" w:space="0"/>
                    <w:right w:val="single" w:color="auto" w:sz="8" w:space="0"/>
                  </w:tcBorders>
                  <w:noWrap/>
                  <w:vAlign w:val="center"/>
                </w:tcPr>
                <w:p w14:paraId="531FB5AD">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0.05</w:t>
                  </w:r>
                </w:p>
              </w:tc>
              <w:tc>
                <w:tcPr>
                  <w:tcW w:w="1134" w:type="dxa"/>
                  <w:tcBorders>
                    <w:top w:val="nil"/>
                    <w:left w:val="nil"/>
                    <w:bottom w:val="single" w:color="auto" w:sz="8" w:space="0"/>
                    <w:right w:val="single" w:color="auto" w:sz="8" w:space="0"/>
                  </w:tcBorders>
                  <w:vAlign w:val="center"/>
                </w:tcPr>
                <w:p w14:paraId="0289952E">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709" w:type="dxa"/>
                  <w:tcBorders>
                    <w:top w:val="nil"/>
                    <w:left w:val="nil"/>
                    <w:bottom w:val="single" w:color="auto" w:sz="8" w:space="0"/>
                    <w:right w:val="single" w:color="auto" w:sz="8" w:space="0"/>
                  </w:tcBorders>
                  <w:noWrap/>
                  <w:vAlign w:val="center"/>
                </w:tcPr>
                <w:p w14:paraId="732CA55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noWrap/>
                  <w:vAlign w:val="center"/>
                </w:tcPr>
                <w:p w14:paraId="12CF7A63">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restart"/>
                  <w:tcBorders>
                    <w:top w:val="nil"/>
                    <w:left w:val="single" w:color="auto" w:sz="8" w:space="0"/>
                    <w:bottom w:val="single" w:color="000000" w:sz="8" w:space="0"/>
                    <w:right w:val="single" w:color="auto" w:sz="8" w:space="0"/>
                  </w:tcBorders>
                  <w:noWrap/>
                  <w:vAlign w:val="center"/>
                </w:tcPr>
                <w:p w14:paraId="3C96DD8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c>
                <w:tcPr>
                  <w:tcW w:w="501" w:type="dxa"/>
                  <w:vMerge w:val="restart"/>
                  <w:tcBorders>
                    <w:top w:val="nil"/>
                    <w:left w:val="single" w:color="auto" w:sz="8" w:space="0"/>
                    <w:bottom w:val="single" w:color="000000" w:sz="8" w:space="0"/>
                    <w:right w:val="nil"/>
                  </w:tcBorders>
                  <w:noWrap/>
                  <w:vAlign w:val="center"/>
                </w:tcPr>
                <w:p w14:paraId="02BDCC1B">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r>
            <w:tr w14:paraId="431A2B96">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670B927C">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41FF9249">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638" w:type="dxa"/>
                  <w:tcBorders>
                    <w:top w:val="nil"/>
                    <w:left w:val="nil"/>
                    <w:bottom w:val="single" w:color="auto" w:sz="8" w:space="0"/>
                    <w:right w:val="single" w:color="auto" w:sz="8" w:space="0"/>
                  </w:tcBorders>
                  <w:noWrap/>
                  <w:vAlign w:val="center"/>
                </w:tcPr>
                <w:p w14:paraId="049BE24D">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0.11</w:t>
                  </w:r>
                </w:p>
              </w:tc>
              <w:tc>
                <w:tcPr>
                  <w:tcW w:w="638" w:type="dxa"/>
                  <w:tcBorders>
                    <w:top w:val="nil"/>
                    <w:left w:val="nil"/>
                    <w:bottom w:val="single" w:color="auto" w:sz="8" w:space="0"/>
                    <w:right w:val="single" w:color="auto" w:sz="8" w:space="0"/>
                  </w:tcBorders>
                  <w:noWrap/>
                  <w:vAlign w:val="center"/>
                </w:tcPr>
                <w:p w14:paraId="6B454709">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708" w:type="dxa"/>
                  <w:tcBorders>
                    <w:top w:val="nil"/>
                    <w:left w:val="nil"/>
                    <w:bottom w:val="single" w:color="auto" w:sz="8" w:space="0"/>
                    <w:right w:val="single" w:color="auto" w:sz="8" w:space="0"/>
                  </w:tcBorders>
                  <w:noWrap/>
                  <w:vAlign w:val="center"/>
                </w:tcPr>
                <w:p w14:paraId="5BC324C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6866872F">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405D0C5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0.05</w:t>
                  </w:r>
                </w:p>
              </w:tc>
              <w:tc>
                <w:tcPr>
                  <w:tcW w:w="1276" w:type="dxa"/>
                  <w:tcBorders>
                    <w:top w:val="nil"/>
                    <w:left w:val="nil"/>
                    <w:bottom w:val="single" w:color="auto" w:sz="8" w:space="0"/>
                    <w:right w:val="single" w:color="auto" w:sz="8" w:space="0"/>
                  </w:tcBorders>
                  <w:vAlign w:val="center"/>
                </w:tcPr>
                <w:p w14:paraId="4CAE24A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管线工程区</w:t>
                  </w:r>
                </w:p>
              </w:tc>
              <w:tc>
                <w:tcPr>
                  <w:tcW w:w="425" w:type="dxa"/>
                  <w:vMerge w:val="continue"/>
                  <w:tcBorders>
                    <w:top w:val="nil"/>
                    <w:left w:val="single" w:color="auto" w:sz="8" w:space="0"/>
                    <w:bottom w:val="single" w:color="000000" w:sz="8" w:space="0"/>
                    <w:right w:val="single" w:color="auto" w:sz="8" w:space="0"/>
                  </w:tcBorders>
                  <w:vAlign w:val="center"/>
                </w:tcPr>
                <w:p w14:paraId="4FC17229">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4B45780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721AD1DD">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5E06F62D">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4C1F10A3">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施工生产生活区</w:t>
                  </w:r>
                </w:p>
              </w:tc>
              <w:tc>
                <w:tcPr>
                  <w:tcW w:w="638" w:type="dxa"/>
                  <w:tcBorders>
                    <w:top w:val="nil"/>
                    <w:left w:val="nil"/>
                    <w:bottom w:val="single" w:color="auto" w:sz="8" w:space="0"/>
                    <w:right w:val="single" w:color="auto" w:sz="8" w:space="0"/>
                  </w:tcBorders>
                  <w:noWrap/>
                  <w:vAlign w:val="center"/>
                </w:tcPr>
                <w:p w14:paraId="5ECE1375">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638" w:type="dxa"/>
                  <w:tcBorders>
                    <w:top w:val="nil"/>
                    <w:left w:val="nil"/>
                    <w:bottom w:val="single" w:color="auto" w:sz="8" w:space="0"/>
                    <w:right w:val="single" w:color="auto" w:sz="8" w:space="0"/>
                  </w:tcBorders>
                  <w:noWrap/>
                  <w:vAlign w:val="center"/>
                </w:tcPr>
                <w:p w14:paraId="22CD4BF8">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708" w:type="dxa"/>
                  <w:tcBorders>
                    <w:top w:val="nil"/>
                    <w:left w:val="nil"/>
                    <w:bottom w:val="single" w:color="auto" w:sz="8" w:space="0"/>
                    <w:right w:val="single" w:color="auto" w:sz="8" w:space="0"/>
                  </w:tcBorders>
                  <w:noWrap/>
                  <w:vAlign w:val="center"/>
                </w:tcPr>
                <w:p w14:paraId="38E8221D">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3C71952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vAlign w:val="center"/>
                </w:tcPr>
                <w:p w14:paraId="6C73616A">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216D097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6F10A159">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6C0AB6FC">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29158253">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09F1EFEB">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218DBBC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临时堆料场区</w:t>
                  </w:r>
                </w:p>
              </w:tc>
              <w:tc>
                <w:tcPr>
                  <w:tcW w:w="638" w:type="dxa"/>
                  <w:tcBorders>
                    <w:top w:val="nil"/>
                    <w:left w:val="nil"/>
                    <w:bottom w:val="single" w:color="auto" w:sz="8" w:space="0"/>
                    <w:right w:val="single" w:color="auto" w:sz="8" w:space="0"/>
                  </w:tcBorders>
                  <w:noWrap/>
                  <w:vAlign w:val="center"/>
                </w:tcPr>
                <w:p w14:paraId="5568832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638" w:type="dxa"/>
                  <w:tcBorders>
                    <w:top w:val="nil"/>
                    <w:left w:val="nil"/>
                    <w:bottom w:val="single" w:color="auto" w:sz="8" w:space="0"/>
                    <w:right w:val="single" w:color="auto" w:sz="8" w:space="0"/>
                  </w:tcBorders>
                  <w:noWrap/>
                  <w:vAlign w:val="center"/>
                </w:tcPr>
                <w:p w14:paraId="257B3C51">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708" w:type="dxa"/>
                  <w:tcBorders>
                    <w:top w:val="nil"/>
                    <w:left w:val="nil"/>
                    <w:bottom w:val="single" w:color="auto" w:sz="8" w:space="0"/>
                    <w:right w:val="single" w:color="auto" w:sz="8" w:space="0"/>
                  </w:tcBorders>
                  <w:noWrap/>
                  <w:vAlign w:val="center"/>
                </w:tcPr>
                <w:p w14:paraId="03C5B32A">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52770D86">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3C4EC18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3462DE1D">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4FEFCD5C">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3DA61F8F">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2071D5CA">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393567AB">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50D6E9D4">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施工道路区</w:t>
                  </w:r>
                </w:p>
              </w:tc>
              <w:tc>
                <w:tcPr>
                  <w:tcW w:w="638" w:type="dxa"/>
                  <w:tcBorders>
                    <w:top w:val="nil"/>
                    <w:left w:val="nil"/>
                    <w:bottom w:val="single" w:color="auto" w:sz="8" w:space="0"/>
                    <w:right w:val="single" w:color="auto" w:sz="8" w:space="0"/>
                  </w:tcBorders>
                  <w:noWrap/>
                  <w:vAlign w:val="center"/>
                </w:tcPr>
                <w:p w14:paraId="5FD55AA2">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0.18</w:t>
                  </w:r>
                </w:p>
              </w:tc>
              <w:tc>
                <w:tcPr>
                  <w:tcW w:w="638" w:type="dxa"/>
                  <w:tcBorders>
                    <w:top w:val="nil"/>
                    <w:left w:val="nil"/>
                    <w:bottom w:val="single" w:color="auto" w:sz="8" w:space="0"/>
                    <w:right w:val="single" w:color="auto" w:sz="8" w:space="0"/>
                  </w:tcBorders>
                  <w:noWrap/>
                  <w:vAlign w:val="center"/>
                </w:tcPr>
                <w:p w14:paraId="1702D2EB">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0.18</w:t>
                  </w:r>
                </w:p>
              </w:tc>
              <w:tc>
                <w:tcPr>
                  <w:tcW w:w="708" w:type="dxa"/>
                  <w:tcBorders>
                    <w:top w:val="nil"/>
                    <w:left w:val="nil"/>
                    <w:bottom w:val="single" w:color="auto" w:sz="8" w:space="0"/>
                    <w:right w:val="single" w:color="auto" w:sz="8" w:space="0"/>
                  </w:tcBorders>
                  <w:noWrap/>
                  <w:vAlign w:val="center"/>
                </w:tcPr>
                <w:p w14:paraId="6262419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6E7AE48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7B9D91AA">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66EA0E62">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3C36A789">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17C5F5C2">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6647D56F">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4A2376B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vAlign w:val="center"/>
                </w:tcPr>
                <w:p w14:paraId="4D8DCCCE">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小计</w:t>
                  </w:r>
                </w:p>
              </w:tc>
              <w:tc>
                <w:tcPr>
                  <w:tcW w:w="638" w:type="dxa"/>
                  <w:tcBorders>
                    <w:top w:val="nil"/>
                    <w:left w:val="nil"/>
                    <w:bottom w:val="single" w:color="auto" w:sz="8" w:space="0"/>
                    <w:right w:val="single" w:color="auto" w:sz="8" w:space="0"/>
                  </w:tcBorders>
                  <w:noWrap/>
                  <w:vAlign w:val="center"/>
                </w:tcPr>
                <w:p w14:paraId="53F6C683">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4.38</w:t>
                  </w:r>
                </w:p>
              </w:tc>
              <w:tc>
                <w:tcPr>
                  <w:tcW w:w="638" w:type="dxa"/>
                  <w:tcBorders>
                    <w:top w:val="nil"/>
                    <w:left w:val="nil"/>
                    <w:bottom w:val="single" w:color="auto" w:sz="8" w:space="0"/>
                    <w:right w:val="single" w:color="auto" w:sz="8" w:space="0"/>
                  </w:tcBorders>
                  <w:noWrap/>
                  <w:vAlign w:val="center"/>
                </w:tcPr>
                <w:p w14:paraId="3D2A7AF6">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4.38</w:t>
                  </w:r>
                </w:p>
              </w:tc>
              <w:tc>
                <w:tcPr>
                  <w:tcW w:w="708" w:type="dxa"/>
                  <w:tcBorders>
                    <w:top w:val="nil"/>
                    <w:left w:val="nil"/>
                    <w:bottom w:val="single" w:color="auto" w:sz="8" w:space="0"/>
                    <w:right w:val="single" w:color="auto" w:sz="8" w:space="0"/>
                  </w:tcBorders>
                  <w:noWrap/>
                  <w:vAlign w:val="center"/>
                </w:tcPr>
                <w:p w14:paraId="21BC145F">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0.06</w:t>
                  </w:r>
                </w:p>
              </w:tc>
              <w:tc>
                <w:tcPr>
                  <w:tcW w:w="1134" w:type="dxa"/>
                  <w:tcBorders>
                    <w:top w:val="nil"/>
                    <w:left w:val="nil"/>
                    <w:bottom w:val="single" w:color="auto" w:sz="8" w:space="0"/>
                    <w:right w:val="single" w:color="auto" w:sz="8" w:space="0"/>
                  </w:tcBorders>
                  <w:noWrap/>
                  <w:vAlign w:val="center"/>
                </w:tcPr>
                <w:p w14:paraId="476654A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3BCA8A32">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0.06</w:t>
                  </w:r>
                </w:p>
              </w:tc>
              <w:tc>
                <w:tcPr>
                  <w:tcW w:w="1276" w:type="dxa"/>
                  <w:tcBorders>
                    <w:top w:val="nil"/>
                    <w:left w:val="nil"/>
                    <w:bottom w:val="single" w:color="auto" w:sz="8" w:space="0"/>
                    <w:right w:val="single" w:color="auto" w:sz="8" w:space="0"/>
                  </w:tcBorders>
                  <w:noWrap/>
                  <w:vAlign w:val="center"/>
                </w:tcPr>
                <w:p w14:paraId="64247FD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67497FF2">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09BE5822">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7FF4E26B">
              <w:tblPrEx>
                <w:tblCellMar>
                  <w:top w:w="0" w:type="dxa"/>
                  <w:left w:w="108" w:type="dxa"/>
                  <w:bottom w:w="0" w:type="dxa"/>
                  <w:right w:w="108" w:type="dxa"/>
                </w:tblCellMar>
              </w:tblPrEx>
              <w:trPr>
                <w:trHeight w:val="20" w:hRule="atLeast"/>
              </w:trPr>
              <w:tc>
                <w:tcPr>
                  <w:tcW w:w="576" w:type="dxa"/>
                  <w:vMerge w:val="restart"/>
                  <w:tcBorders>
                    <w:top w:val="nil"/>
                    <w:left w:val="nil"/>
                    <w:bottom w:val="single" w:color="000000" w:sz="8" w:space="0"/>
                    <w:right w:val="single" w:color="auto" w:sz="8" w:space="0"/>
                  </w:tcBorders>
                  <w:vAlign w:val="center"/>
                </w:tcPr>
                <w:p w14:paraId="6CD3EF4B">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斯溪沟水库片区</w:t>
                  </w:r>
                </w:p>
              </w:tc>
              <w:tc>
                <w:tcPr>
                  <w:tcW w:w="1559" w:type="dxa"/>
                  <w:tcBorders>
                    <w:top w:val="nil"/>
                    <w:left w:val="nil"/>
                    <w:bottom w:val="single" w:color="auto" w:sz="8" w:space="0"/>
                    <w:right w:val="single" w:color="auto" w:sz="8" w:space="0"/>
                  </w:tcBorders>
                  <w:noWrap/>
                  <w:vAlign w:val="center"/>
                </w:tcPr>
                <w:p w14:paraId="199006A3">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主体工程区</w:t>
                  </w:r>
                </w:p>
              </w:tc>
              <w:tc>
                <w:tcPr>
                  <w:tcW w:w="638" w:type="dxa"/>
                  <w:tcBorders>
                    <w:top w:val="nil"/>
                    <w:left w:val="nil"/>
                    <w:bottom w:val="single" w:color="auto" w:sz="8" w:space="0"/>
                    <w:right w:val="single" w:color="auto" w:sz="8" w:space="0"/>
                  </w:tcBorders>
                  <w:noWrap/>
                  <w:vAlign w:val="center"/>
                </w:tcPr>
                <w:p w14:paraId="455B4E64">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2.62</w:t>
                  </w:r>
                </w:p>
              </w:tc>
              <w:tc>
                <w:tcPr>
                  <w:tcW w:w="638" w:type="dxa"/>
                  <w:tcBorders>
                    <w:top w:val="nil"/>
                    <w:left w:val="nil"/>
                    <w:bottom w:val="single" w:color="auto" w:sz="8" w:space="0"/>
                    <w:right w:val="single" w:color="auto" w:sz="8" w:space="0"/>
                  </w:tcBorders>
                  <w:noWrap/>
                  <w:vAlign w:val="center"/>
                </w:tcPr>
                <w:p w14:paraId="5ADB2E7D">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2.72</w:t>
                  </w:r>
                </w:p>
              </w:tc>
              <w:tc>
                <w:tcPr>
                  <w:tcW w:w="708" w:type="dxa"/>
                  <w:tcBorders>
                    <w:top w:val="nil"/>
                    <w:left w:val="nil"/>
                    <w:bottom w:val="single" w:color="auto" w:sz="8" w:space="0"/>
                    <w:right w:val="single" w:color="auto" w:sz="8" w:space="0"/>
                  </w:tcBorders>
                  <w:noWrap/>
                  <w:vAlign w:val="center"/>
                </w:tcPr>
                <w:p w14:paraId="25935B49">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0.08</w:t>
                  </w:r>
                </w:p>
              </w:tc>
              <w:tc>
                <w:tcPr>
                  <w:tcW w:w="1134" w:type="dxa"/>
                  <w:tcBorders>
                    <w:top w:val="nil"/>
                    <w:left w:val="nil"/>
                    <w:bottom w:val="single" w:color="auto" w:sz="8" w:space="0"/>
                    <w:right w:val="single" w:color="auto" w:sz="8" w:space="0"/>
                  </w:tcBorders>
                  <w:vAlign w:val="center"/>
                </w:tcPr>
                <w:p w14:paraId="2121CC4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709" w:type="dxa"/>
                  <w:tcBorders>
                    <w:top w:val="nil"/>
                    <w:left w:val="nil"/>
                    <w:bottom w:val="single" w:color="auto" w:sz="8" w:space="0"/>
                    <w:right w:val="single" w:color="auto" w:sz="8" w:space="0"/>
                  </w:tcBorders>
                  <w:noWrap/>
                  <w:vAlign w:val="center"/>
                </w:tcPr>
                <w:p w14:paraId="28A566BA">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noWrap/>
                  <w:vAlign w:val="center"/>
                </w:tcPr>
                <w:p w14:paraId="6C62BF3D">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restart"/>
                  <w:tcBorders>
                    <w:top w:val="nil"/>
                    <w:left w:val="single" w:color="auto" w:sz="8" w:space="0"/>
                    <w:bottom w:val="single" w:color="000000" w:sz="8" w:space="0"/>
                    <w:right w:val="single" w:color="auto" w:sz="8" w:space="0"/>
                  </w:tcBorders>
                  <w:noWrap/>
                  <w:vAlign w:val="center"/>
                </w:tcPr>
                <w:p w14:paraId="234F86E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c>
                <w:tcPr>
                  <w:tcW w:w="501" w:type="dxa"/>
                  <w:vMerge w:val="restart"/>
                  <w:tcBorders>
                    <w:top w:val="nil"/>
                    <w:left w:val="single" w:color="auto" w:sz="8" w:space="0"/>
                    <w:bottom w:val="single" w:color="000000" w:sz="8" w:space="0"/>
                    <w:right w:val="nil"/>
                  </w:tcBorders>
                  <w:noWrap/>
                  <w:vAlign w:val="center"/>
                </w:tcPr>
                <w:p w14:paraId="3CF78D4F">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r>
            <w:tr w14:paraId="57BF3674">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709F1117">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215F80B1">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638" w:type="dxa"/>
                  <w:tcBorders>
                    <w:top w:val="nil"/>
                    <w:left w:val="nil"/>
                    <w:bottom w:val="single" w:color="auto" w:sz="8" w:space="0"/>
                    <w:right w:val="single" w:color="auto" w:sz="8" w:space="0"/>
                  </w:tcBorders>
                  <w:noWrap/>
                  <w:vAlign w:val="center"/>
                </w:tcPr>
                <w:p w14:paraId="67D8B7FA">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0.3</w:t>
                  </w:r>
                </w:p>
              </w:tc>
              <w:tc>
                <w:tcPr>
                  <w:tcW w:w="638" w:type="dxa"/>
                  <w:tcBorders>
                    <w:top w:val="nil"/>
                    <w:left w:val="nil"/>
                    <w:bottom w:val="single" w:color="auto" w:sz="8" w:space="0"/>
                    <w:right w:val="single" w:color="auto" w:sz="8" w:space="0"/>
                  </w:tcBorders>
                  <w:noWrap/>
                  <w:vAlign w:val="center"/>
                </w:tcPr>
                <w:p w14:paraId="0016DC13">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0.2</w:t>
                  </w:r>
                </w:p>
              </w:tc>
              <w:tc>
                <w:tcPr>
                  <w:tcW w:w="708" w:type="dxa"/>
                  <w:tcBorders>
                    <w:top w:val="nil"/>
                    <w:left w:val="nil"/>
                    <w:bottom w:val="single" w:color="auto" w:sz="8" w:space="0"/>
                    <w:right w:val="single" w:color="auto" w:sz="8" w:space="0"/>
                  </w:tcBorders>
                  <w:noWrap/>
                  <w:vAlign w:val="center"/>
                </w:tcPr>
                <w:p w14:paraId="080567BF">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5269CF9F">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404EE7F6">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0.08</w:t>
                  </w:r>
                </w:p>
              </w:tc>
              <w:tc>
                <w:tcPr>
                  <w:tcW w:w="1276" w:type="dxa"/>
                  <w:tcBorders>
                    <w:top w:val="nil"/>
                    <w:left w:val="nil"/>
                    <w:bottom w:val="single" w:color="auto" w:sz="8" w:space="0"/>
                    <w:right w:val="single" w:color="auto" w:sz="8" w:space="0"/>
                  </w:tcBorders>
                  <w:vAlign w:val="center"/>
                </w:tcPr>
                <w:p w14:paraId="2E25B0E5">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管线工程区</w:t>
                  </w:r>
                </w:p>
              </w:tc>
              <w:tc>
                <w:tcPr>
                  <w:tcW w:w="425" w:type="dxa"/>
                  <w:vMerge w:val="continue"/>
                  <w:tcBorders>
                    <w:top w:val="nil"/>
                    <w:left w:val="single" w:color="auto" w:sz="8" w:space="0"/>
                    <w:bottom w:val="single" w:color="000000" w:sz="8" w:space="0"/>
                    <w:right w:val="single" w:color="auto" w:sz="8" w:space="0"/>
                  </w:tcBorders>
                  <w:vAlign w:val="center"/>
                </w:tcPr>
                <w:p w14:paraId="77000393">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56961C0E">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253B4B30">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5D98D329">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4AE9AFA0">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施工生产生活区</w:t>
                  </w:r>
                </w:p>
              </w:tc>
              <w:tc>
                <w:tcPr>
                  <w:tcW w:w="638" w:type="dxa"/>
                  <w:tcBorders>
                    <w:top w:val="nil"/>
                    <w:left w:val="nil"/>
                    <w:bottom w:val="single" w:color="auto" w:sz="8" w:space="0"/>
                    <w:right w:val="single" w:color="auto" w:sz="8" w:space="0"/>
                  </w:tcBorders>
                  <w:noWrap/>
                  <w:vAlign w:val="center"/>
                </w:tcPr>
                <w:p w14:paraId="02035DE7">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0.05</w:t>
                  </w:r>
                </w:p>
              </w:tc>
              <w:tc>
                <w:tcPr>
                  <w:tcW w:w="638" w:type="dxa"/>
                  <w:tcBorders>
                    <w:top w:val="nil"/>
                    <w:left w:val="nil"/>
                    <w:bottom w:val="single" w:color="auto" w:sz="8" w:space="0"/>
                    <w:right w:val="single" w:color="auto" w:sz="8" w:space="0"/>
                  </w:tcBorders>
                  <w:noWrap/>
                  <w:vAlign w:val="center"/>
                </w:tcPr>
                <w:p w14:paraId="5636130D">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0.05</w:t>
                  </w:r>
                </w:p>
              </w:tc>
              <w:tc>
                <w:tcPr>
                  <w:tcW w:w="708" w:type="dxa"/>
                  <w:tcBorders>
                    <w:top w:val="nil"/>
                    <w:left w:val="nil"/>
                    <w:bottom w:val="single" w:color="auto" w:sz="8" w:space="0"/>
                    <w:right w:val="single" w:color="auto" w:sz="8" w:space="0"/>
                  </w:tcBorders>
                  <w:noWrap/>
                  <w:vAlign w:val="center"/>
                </w:tcPr>
                <w:p w14:paraId="7385B309">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6B3264E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vAlign w:val="center"/>
                </w:tcPr>
                <w:p w14:paraId="07556C27">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7322C83E">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1868D59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08D66DB4">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5E64A02D">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6EC03E23">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601CAC6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临时堆料场区</w:t>
                  </w:r>
                </w:p>
              </w:tc>
              <w:tc>
                <w:tcPr>
                  <w:tcW w:w="638" w:type="dxa"/>
                  <w:tcBorders>
                    <w:top w:val="nil"/>
                    <w:left w:val="nil"/>
                    <w:bottom w:val="single" w:color="auto" w:sz="8" w:space="0"/>
                    <w:right w:val="single" w:color="auto" w:sz="8" w:space="0"/>
                  </w:tcBorders>
                  <w:noWrap/>
                  <w:vAlign w:val="center"/>
                </w:tcPr>
                <w:p w14:paraId="470F4755">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638" w:type="dxa"/>
                  <w:tcBorders>
                    <w:top w:val="nil"/>
                    <w:left w:val="nil"/>
                    <w:bottom w:val="single" w:color="auto" w:sz="8" w:space="0"/>
                    <w:right w:val="single" w:color="auto" w:sz="8" w:space="0"/>
                  </w:tcBorders>
                  <w:noWrap/>
                  <w:vAlign w:val="center"/>
                </w:tcPr>
                <w:p w14:paraId="30306624">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708" w:type="dxa"/>
                  <w:tcBorders>
                    <w:top w:val="nil"/>
                    <w:left w:val="nil"/>
                    <w:bottom w:val="single" w:color="auto" w:sz="8" w:space="0"/>
                    <w:right w:val="single" w:color="auto" w:sz="8" w:space="0"/>
                  </w:tcBorders>
                  <w:noWrap/>
                  <w:vAlign w:val="center"/>
                </w:tcPr>
                <w:p w14:paraId="4BCB39E3">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4E7885E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00B56029">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4936C0B0">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548AF7D4">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725267CA">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35410D75">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5561B87C">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20EF5A98">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施工道路区</w:t>
                  </w:r>
                </w:p>
              </w:tc>
              <w:tc>
                <w:tcPr>
                  <w:tcW w:w="638" w:type="dxa"/>
                  <w:tcBorders>
                    <w:top w:val="nil"/>
                    <w:left w:val="nil"/>
                    <w:bottom w:val="single" w:color="auto" w:sz="8" w:space="0"/>
                    <w:right w:val="single" w:color="auto" w:sz="8" w:space="0"/>
                  </w:tcBorders>
                  <w:noWrap/>
                  <w:vAlign w:val="center"/>
                </w:tcPr>
                <w:p w14:paraId="1973422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0.12</w:t>
                  </w:r>
                </w:p>
              </w:tc>
              <w:tc>
                <w:tcPr>
                  <w:tcW w:w="638" w:type="dxa"/>
                  <w:tcBorders>
                    <w:top w:val="nil"/>
                    <w:left w:val="nil"/>
                    <w:bottom w:val="single" w:color="auto" w:sz="8" w:space="0"/>
                    <w:right w:val="single" w:color="auto" w:sz="8" w:space="0"/>
                  </w:tcBorders>
                  <w:noWrap/>
                  <w:vAlign w:val="center"/>
                </w:tcPr>
                <w:p w14:paraId="75BC9559">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0.12</w:t>
                  </w:r>
                </w:p>
              </w:tc>
              <w:tc>
                <w:tcPr>
                  <w:tcW w:w="708" w:type="dxa"/>
                  <w:tcBorders>
                    <w:top w:val="nil"/>
                    <w:left w:val="nil"/>
                    <w:bottom w:val="single" w:color="auto" w:sz="8" w:space="0"/>
                    <w:right w:val="single" w:color="auto" w:sz="8" w:space="0"/>
                  </w:tcBorders>
                  <w:noWrap/>
                  <w:vAlign w:val="center"/>
                </w:tcPr>
                <w:p w14:paraId="5EBA5B5C">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2E4FC52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454AE56C">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655036ED">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51580201">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3851CD62">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4BC39F3E">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1BAE07B7">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vAlign w:val="center"/>
                </w:tcPr>
                <w:p w14:paraId="7E6AB285">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小计</w:t>
                  </w:r>
                </w:p>
              </w:tc>
              <w:tc>
                <w:tcPr>
                  <w:tcW w:w="638" w:type="dxa"/>
                  <w:tcBorders>
                    <w:top w:val="nil"/>
                    <w:left w:val="nil"/>
                    <w:bottom w:val="single" w:color="auto" w:sz="8" w:space="0"/>
                    <w:right w:val="single" w:color="auto" w:sz="8" w:space="0"/>
                  </w:tcBorders>
                  <w:noWrap/>
                  <w:vAlign w:val="center"/>
                </w:tcPr>
                <w:p w14:paraId="5E4F9D9D">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3.12</w:t>
                  </w:r>
                </w:p>
              </w:tc>
              <w:tc>
                <w:tcPr>
                  <w:tcW w:w="638" w:type="dxa"/>
                  <w:tcBorders>
                    <w:top w:val="nil"/>
                    <w:left w:val="nil"/>
                    <w:bottom w:val="single" w:color="auto" w:sz="8" w:space="0"/>
                    <w:right w:val="single" w:color="auto" w:sz="8" w:space="0"/>
                  </w:tcBorders>
                  <w:noWrap/>
                  <w:vAlign w:val="center"/>
                </w:tcPr>
                <w:p w14:paraId="2F5E6F45">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3.12</w:t>
                  </w:r>
                </w:p>
              </w:tc>
              <w:tc>
                <w:tcPr>
                  <w:tcW w:w="708" w:type="dxa"/>
                  <w:tcBorders>
                    <w:top w:val="nil"/>
                    <w:left w:val="nil"/>
                    <w:bottom w:val="single" w:color="auto" w:sz="8" w:space="0"/>
                    <w:right w:val="single" w:color="auto" w:sz="8" w:space="0"/>
                  </w:tcBorders>
                  <w:noWrap/>
                  <w:vAlign w:val="center"/>
                </w:tcPr>
                <w:p w14:paraId="54DF7EBC">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0.08</w:t>
                  </w:r>
                </w:p>
              </w:tc>
              <w:tc>
                <w:tcPr>
                  <w:tcW w:w="1134" w:type="dxa"/>
                  <w:tcBorders>
                    <w:top w:val="nil"/>
                    <w:left w:val="nil"/>
                    <w:bottom w:val="single" w:color="auto" w:sz="8" w:space="0"/>
                    <w:right w:val="single" w:color="auto" w:sz="8" w:space="0"/>
                  </w:tcBorders>
                  <w:noWrap/>
                  <w:vAlign w:val="center"/>
                </w:tcPr>
                <w:p w14:paraId="1D0DD5E1">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36D2DB93">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0.08</w:t>
                  </w:r>
                </w:p>
              </w:tc>
              <w:tc>
                <w:tcPr>
                  <w:tcW w:w="1276" w:type="dxa"/>
                  <w:tcBorders>
                    <w:top w:val="nil"/>
                    <w:left w:val="nil"/>
                    <w:bottom w:val="single" w:color="auto" w:sz="8" w:space="0"/>
                    <w:right w:val="single" w:color="auto" w:sz="8" w:space="0"/>
                  </w:tcBorders>
                  <w:noWrap/>
                  <w:vAlign w:val="center"/>
                </w:tcPr>
                <w:p w14:paraId="523E712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40874AA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21476A3E">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3F1079CF">
              <w:tblPrEx>
                <w:tblCellMar>
                  <w:top w:w="0" w:type="dxa"/>
                  <w:left w:w="108" w:type="dxa"/>
                  <w:bottom w:w="0" w:type="dxa"/>
                  <w:right w:w="108" w:type="dxa"/>
                </w:tblCellMar>
              </w:tblPrEx>
              <w:trPr>
                <w:trHeight w:val="20" w:hRule="atLeast"/>
              </w:trPr>
              <w:tc>
                <w:tcPr>
                  <w:tcW w:w="576" w:type="dxa"/>
                  <w:vMerge w:val="restart"/>
                  <w:tcBorders>
                    <w:top w:val="nil"/>
                    <w:left w:val="nil"/>
                    <w:bottom w:val="single" w:color="000000" w:sz="8" w:space="0"/>
                    <w:right w:val="single" w:color="auto" w:sz="8" w:space="0"/>
                  </w:tcBorders>
                  <w:vAlign w:val="center"/>
                </w:tcPr>
                <w:p w14:paraId="2AC0FBBF">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王家河水库片区</w:t>
                  </w:r>
                </w:p>
              </w:tc>
              <w:tc>
                <w:tcPr>
                  <w:tcW w:w="1559" w:type="dxa"/>
                  <w:tcBorders>
                    <w:top w:val="nil"/>
                    <w:left w:val="nil"/>
                    <w:bottom w:val="single" w:color="auto" w:sz="8" w:space="0"/>
                    <w:right w:val="single" w:color="auto" w:sz="8" w:space="0"/>
                  </w:tcBorders>
                  <w:noWrap/>
                  <w:vAlign w:val="center"/>
                </w:tcPr>
                <w:p w14:paraId="48868948">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主体工程区</w:t>
                  </w:r>
                </w:p>
              </w:tc>
              <w:tc>
                <w:tcPr>
                  <w:tcW w:w="638" w:type="dxa"/>
                  <w:tcBorders>
                    <w:top w:val="nil"/>
                    <w:left w:val="nil"/>
                    <w:bottom w:val="single" w:color="auto" w:sz="8" w:space="0"/>
                    <w:right w:val="single" w:color="auto" w:sz="8" w:space="0"/>
                  </w:tcBorders>
                  <w:noWrap/>
                  <w:vAlign w:val="center"/>
                </w:tcPr>
                <w:p w14:paraId="6C4D6027">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1.05</w:t>
                  </w:r>
                </w:p>
              </w:tc>
              <w:tc>
                <w:tcPr>
                  <w:tcW w:w="638" w:type="dxa"/>
                  <w:tcBorders>
                    <w:top w:val="nil"/>
                    <w:left w:val="nil"/>
                    <w:bottom w:val="single" w:color="auto" w:sz="8" w:space="0"/>
                    <w:right w:val="single" w:color="auto" w:sz="8" w:space="0"/>
                  </w:tcBorders>
                  <w:noWrap/>
                  <w:vAlign w:val="center"/>
                </w:tcPr>
                <w:p w14:paraId="6F6E9F91">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1.1</w:t>
                  </w:r>
                </w:p>
              </w:tc>
              <w:tc>
                <w:tcPr>
                  <w:tcW w:w="708" w:type="dxa"/>
                  <w:tcBorders>
                    <w:top w:val="nil"/>
                    <w:left w:val="nil"/>
                    <w:bottom w:val="single" w:color="auto" w:sz="8" w:space="0"/>
                    <w:right w:val="single" w:color="auto" w:sz="8" w:space="0"/>
                  </w:tcBorders>
                  <w:noWrap/>
                  <w:vAlign w:val="center"/>
                </w:tcPr>
                <w:p w14:paraId="01EC70FF">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1134" w:type="dxa"/>
                  <w:tcBorders>
                    <w:top w:val="nil"/>
                    <w:left w:val="nil"/>
                    <w:bottom w:val="single" w:color="auto" w:sz="8" w:space="0"/>
                    <w:right w:val="single" w:color="auto" w:sz="8" w:space="0"/>
                  </w:tcBorders>
                  <w:vAlign w:val="center"/>
                </w:tcPr>
                <w:p w14:paraId="66B788BA">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709" w:type="dxa"/>
                  <w:tcBorders>
                    <w:top w:val="nil"/>
                    <w:left w:val="nil"/>
                    <w:bottom w:val="single" w:color="auto" w:sz="8" w:space="0"/>
                    <w:right w:val="single" w:color="auto" w:sz="8" w:space="0"/>
                  </w:tcBorders>
                  <w:noWrap/>
                  <w:vAlign w:val="center"/>
                </w:tcPr>
                <w:p w14:paraId="2A053A37">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noWrap/>
                  <w:vAlign w:val="center"/>
                </w:tcPr>
                <w:p w14:paraId="25971704">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restart"/>
                  <w:tcBorders>
                    <w:top w:val="nil"/>
                    <w:left w:val="single" w:color="auto" w:sz="8" w:space="0"/>
                    <w:bottom w:val="single" w:color="000000" w:sz="8" w:space="0"/>
                    <w:right w:val="single" w:color="auto" w:sz="8" w:space="0"/>
                  </w:tcBorders>
                  <w:noWrap/>
                  <w:vAlign w:val="center"/>
                </w:tcPr>
                <w:p w14:paraId="305AAF6C">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c>
                <w:tcPr>
                  <w:tcW w:w="501" w:type="dxa"/>
                  <w:vMerge w:val="restart"/>
                  <w:tcBorders>
                    <w:top w:val="nil"/>
                    <w:left w:val="single" w:color="auto" w:sz="8" w:space="0"/>
                    <w:bottom w:val="single" w:color="000000" w:sz="8" w:space="0"/>
                    <w:right w:val="nil"/>
                  </w:tcBorders>
                  <w:noWrap/>
                  <w:vAlign w:val="center"/>
                </w:tcPr>
                <w:p w14:paraId="22089A34">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无</w:t>
                  </w:r>
                </w:p>
              </w:tc>
            </w:tr>
            <w:tr w14:paraId="7C0243A1">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761DC786">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6F7C4AE6">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附属设施区</w:t>
                  </w:r>
                </w:p>
              </w:tc>
              <w:tc>
                <w:tcPr>
                  <w:tcW w:w="638" w:type="dxa"/>
                  <w:tcBorders>
                    <w:top w:val="nil"/>
                    <w:left w:val="nil"/>
                    <w:bottom w:val="single" w:color="auto" w:sz="8" w:space="0"/>
                    <w:right w:val="single" w:color="auto" w:sz="8" w:space="0"/>
                  </w:tcBorders>
                  <w:noWrap/>
                  <w:vAlign w:val="center"/>
                </w:tcPr>
                <w:p w14:paraId="0E52571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0.17</w:t>
                  </w:r>
                </w:p>
              </w:tc>
              <w:tc>
                <w:tcPr>
                  <w:tcW w:w="638" w:type="dxa"/>
                  <w:tcBorders>
                    <w:top w:val="nil"/>
                    <w:left w:val="nil"/>
                    <w:bottom w:val="single" w:color="auto" w:sz="8" w:space="0"/>
                    <w:right w:val="single" w:color="auto" w:sz="8" w:space="0"/>
                  </w:tcBorders>
                  <w:noWrap/>
                  <w:vAlign w:val="center"/>
                </w:tcPr>
                <w:p w14:paraId="07E2BDE2">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0.12</w:t>
                  </w:r>
                </w:p>
              </w:tc>
              <w:tc>
                <w:tcPr>
                  <w:tcW w:w="708" w:type="dxa"/>
                  <w:tcBorders>
                    <w:top w:val="nil"/>
                    <w:left w:val="nil"/>
                    <w:bottom w:val="single" w:color="auto" w:sz="8" w:space="0"/>
                    <w:right w:val="single" w:color="auto" w:sz="8" w:space="0"/>
                  </w:tcBorders>
                  <w:noWrap/>
                  <w:vAlign w:val="center"/>
                </w:tcPr>
                <w:p w14:paraId="209B3C01">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7E59AEFA">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519AAB0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1276" w:type="dxa"/>
                  <w:tcBorders>
                    <w:top w:val="nil"/>
                    <w:left w:val="nil"/>
                    <w:bottom w:val="single" w:color="auto" w:sz="8" w:space="0"/>
                    <w:right w:val="single" w:color="auto" w:sz="8" w:space="0"/>
                  </w:tcBorders>
                  <w:vAlign w:val="center"/>
                </w:tcPr>
                <w:p w14:paraId="359EF458">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管线工程区</w:t>
                  </w:r>
                </w:p>
              </w:tc>
              <w:tc>
                <w:tcPr>
                  <w:tcW w:w="425" w:type="dxa"/>
                  <w:vMerge w:val="continue"/>
                  <w:tcBorders>
                    <w:top w:val="nil"/>
                    <w:left w:val="single" w:color="auto" w:sz="8" w:space="0"/>
                    <w:bottom w:val="single" w:color="000000" w:sz="8" w:space="0"/>
                    <w:right w:val="single" w:color="auto" w:sz="8" w:space="0"/>
                  </w:tcBorders>
                  <w:vAlign w:val="center"/>
                </w:tcPr>
                <w:p w14:paraId="2E10A98A">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5044D73E">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18F77D99">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7DE97D15">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017089BE">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施工生产生活区</w:t>
                  </w:r>
                </w:p>
              </w:tc>
              <w:tc>
                <w:tcPr>
                  <w:tcW w:w="638" w:type="dxa"/>
                  <w:tcBorders>
                    <w:top w:val="nil"/>
                    <w:left w:val="nil"/>
                    <w:bottom w:val="single" w:color="auto" w:sz="8" w:space="0"/>
                    <w:right w:val="single" w:color="auto" w:sz="8" w:space="0"/>
                  </w:tcBorders>
                  <w:noWrap/>
                  <w:vAlign w:val="center"/>
                </w:tcPr>
                <w:p w14:paraId="5560DBEB">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638" w:type="dxa"/>
                  <w:tcBorders>
                    <w:top w:val="nil"/>
                    <w:left w:val="nil"/>
                    <w:bottom w:val="single" w:color="auto" w:sz="8" w:space="0"/>
                    <w:right w:val="single" w:color="auto" w:sz="8" w:space="0"/>
                  </w:tcBorders>
                  <w:noWrap/>
                  <w:vAlign w:val="center"/>
                </w:tcPr>
                <w:p w14:paraId="7FE1B26A">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0.03</w:t>
                  </w:r>
                </w:p>
              </w:tc>
              <w:tc>
                <w:tcPr>
                  <w:tcW w:w="708" w:type="dxa"/>
                  <w:tcBorders>
                    <w:top w:val="nil"/>
                    <w:left w:val="nil"/>
                    <w:bottom w:val="single" w:color="auto" w:sz="8" w:space="0"/>
                    <w:right w:val="single" w:color="auto" w:sz="8" w:space="0"/>
                  </w:tcBorders>
                  <w:noWrap/>
                  <w:vAlign w:val="center"/>
                </w:tcPr>
                <w:p w14:paraId="1086955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161B8512">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vAlign w:val="center"/>
                </w:tcPr>
                <w:p w14:paraId="38CCB6F1">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20930642">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4363C920">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66279E79">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5E52F28A">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699A10CD">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5683677B">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临时堆料场区</w:t>
                  </w:r>
                </w:p>
              </w:tc>
              <w:tc>
                <w:tcPr>
                  <w:tcW w:w="638" w:type="dxa"/>
                  <w:tcBorders>
                    <w:top w:val="nil"/>
                    <w:left w:val="nil"/>
                    <w:bottom w:val="single" w:color="auto" w:sz="8" w:space="0"/>
                    <w:right w:val="single" w:color="auto" w:sz="8" w:space="0"/>
                  </w:tcBorders>
                  <w:noWrap/>
                  <w:vAlign w:val="center"/>
                </w:tcPr>
                <w:p w14:paraId="0A25BFD1">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0.02</w:t>
                  </w:r>
                </w:p>
              </w:tc>
              <w:tc>
                <w:tcPr>
                  <w:tcW w:w="638" w:type="dxa"/>
                  <w:tcBorders>
                    <w:top w:val="nil"/>
                    <w:left w:val="nil"/>
                    <w:bottom w:val="single" w:color="auto" w:sz="8" w:space="0"/>
                    <w:right w:val="single" w:color="auto" w:sz="8" w:space="0"/>
                  </w:tcBorders>
                  <w:noWrap/>
                  <w:vAlign w:val="center"/>
                </w:tcPr>
                <w:p w14:paraId="653C5824">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0.02</w:t>
                  </w:r>
                </w:p>
              </w:tc>
              <w:tc>
                <w:tcPr>
                  <w:tcW w:w="708" w:type="dxa"/>
                  <w:tcBorders>
                    <w:top w:val="nil"/>
                    <w:left w:val="nil"/>
                    <w:bottom w:val="single" w:color="auto" w:sz="8" w:space="0"/>
                    <w:right w:val="single" w:color="auto" w:sz="8" w:space="0"/>
                  </w:tcBorders>
                  <w:noWrap/>
                  <w:vAlign w:val="center"/>
                </w:tcPr>
                <w:p w14:paraId="570E4527">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597FCE7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1720C19D">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5EB06CB7">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314789AA">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207908CA">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3DF59543">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2F2F8B13">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noWrap/>
                  <w:vAlign w:val="center"/>
                </w:tcPr>
                <w:p w14:paraId="4DF723CE">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施工道路区</w:t>
                  </w:r>
                </w:p>
              </w:tc>
              <w:tc>
                <w:tcPr>
                  <w:tcW w:w="638" w:type="dxa"/>
                  <w:tcBorders>
                    <w:top w:val="nil"/>
                    <w:left w:val="nil"/>
                    <w:bottom w:val="single" w:color="auto" w:sz="8" w:space="0"/>
                    <w:right w:val="single" w:color="auto" w:sz="8" w:space="0"/>
                  </w:tcBorders>
                  <w:noWrap/>
                  <w:vAlign w:val="center"/>
                </w:tcPr>
                <w:p w14:paraId="1D256FC1">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0.12</w:t>
                  </w:r>
                </w:p>
              </w:tc>
              <w:tc>
                <w:tcPr>
                  <w:tcW w:w="638" w:type="dxa"/>
                  <w:tcBorders>
                    <w:top w:val="nil"/>
                    <w:left w:val="nil"/>
                    <w:bottom w:val="single" w:color="auto" w:sz="8" w:space="0"/>
                    <w:right w:val="single" w:color="auto" w:sz="8" w:space="0"/>
                  </w:tcBorders>
                  <w:noWrap/>
                  <w:vAlign w:val="center"/>
                </w:tcPr>
                <w:p w14:paraId="403CF164">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0.12</w:t>
                  </w:r>
                </w:p>
              </w:tc>
              <w:tc>
                <w:tcPr>
                  <w:tcW w:w="708" w:type="dxa"/>
                  <w:tcBorders>
                    <w:top w:val="nil"/>
                    <w:left w:val="nil"/>
                    <w:bottom w:val="single" w:color="auto" w:sz="8" w:space="0"/>
                    <w:right w:val="single" w:color="auto" w:sz="8" w:space="0"/>
                  </w:tcBorders>
                  <w:noWrap/>
                  <w:vAlign w:val="center"/>
                </w:tcPr>
                <w:p w14:paraId="7D055E9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134" w:type="dxa"/>
                  <w:tcBorders>
                    <w:top w:val="nil"/>
                    <w:left w:val="nil"/>
                    <w:bottom w:val="single" w:color="auto" w:sz="8" w:space="0"/>
                    <w:right w:val="single" w:color="auto" w:sz="8" w:space="0"/>
                  </w:tcBorders>
                  <w:noWrap/>
                  <w:vAlign w:val="center"/>
                </w:tcPr>
                <w:p w14:paraId="520AE22E">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0693ED62">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1276" w:type="dxa"/>
                  <w:tcBorders>
                    <w:top w:val="nil"/>
                    <w:left w:val="nil"/>
                    <w:bottom w:val="single" w:color="auto" w:sz="8" w:space="0"/>
                    <w:right w:val="single" w:color="auto" w:sz="8" w:space="0"/>
                  </w:tcBorders>
                  <w:vAlign w:val="center"/>
                </w:tcPr>
                <w:p w14:paraId="740686F0">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3973AA30">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2554B6CD">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234C004E">
              <w:tblPrEx>
                <w:tblCellMar>
                  <w:top w:w="0" w:type="dxa"/>
                  <w:left w:w="108" w:type="dxa"/>
                  <w:bottom w:w="0" w:type="dxa"/>
                  <w:right w:w="108" w:type="dxa"/>
                </w:tblCellMar>
              </w:tblPrEx>
              <w:trPr>
                <w:trHeight w:val="20" w:hRule="atLeast"/>
              </w:trPr>
              <w:tc>
                <w:tcPr>
                  <w:tcW w:w="576" w:type="dxa"/>
                  <w:vMerge w:val="continue"/>
                  <w:tcBorders>
                    <w:top w:val="nil"/>
                    <w:left w:val="nil"/>
                    <w:bottom w:val="single" w:color="000000" w:sz="8" w:space="0"/>
                    <w:right w:val="single" w:color="auto" w:sz="8" w:space="0"/>
                  </w:tcBorders>
                  <w:vAlign w:val="center"/>
                </w:tcPr>
                <w:p w14:paraId="116C0D6D">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1559" w:type="dxa"/>
                  <w:tcBorders>
                    <w:top w:val="nil"/>
                    <w:left w:val="nil"/>
                    <w:bottom w:val="single" w:color="auto" w:sz="8" w:space="0"/>
                    <w:right w:val="single" w:color="auto" w:sz="8" w:space="0"/>
                  </w:tcBorders>
                  <w:vAlign w:val="center"/>
                </w:tcPr>
                <w:p w14:paraId="794BB927">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小计</w:t>
                  </w:r>
                </w:p>
              </w:tc>
              <w:tc>
                <w:tcPr>
                  <w:tcW w:w="638" w:type="dxa"/>
                  <w:tcBorders>
                    <w:top w:val="nil"/>
                    <w:left w:val="nil"/>
                    <w:bottom w:val="single" w:color="auto" w:sz="8" w:space="0"/>
                    <w:right w:val="single" w:color="auto" w:sz="8" w:space="0"/>
                  </w:tcBorders>
                  <w:noWrap/>
                  <w:vAlign w:val="center"/>
                </w:tcPr>
                <w:p w14:paraId="690B13F6">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1.39</w:t>
                  </w:r>
                </w:p>
              </w:tc>
              <w:tc>
                <w:tcPr>
                  <w:tcW w:w="638" w:type="dxa"/>
                  <w:tcBorders>
                    <w:top w:val="nil"/>
                    <w:left w:val="nil"/>
                    <w:bottom w:val="single" w:color="auto" w:sz="8" w:space="0"/>
                    <w:right w:val="single" w:color="auto" w:sz="8" w:space="0"/>
                  </w:tcBorders>
                  <w:noWrap/>
                  <w:vAlign w:val="center"/>
                </w:tcPr>
                <w:p w14:paraId="6909BBE0">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1.39</w:t>
                  </w:r>
                </w:p>
              </w:tc>
              <w:tc>
                <w:tcPr>
                  <w:tcW w:w="708" w:type="dxa"/>
                  <w:tcBorders>
                    <w:top w:val="nil"/>
                    <w:left w:val="nil"/>
                    <w:bottom w:val="single" w:color="auto" w:sz="8" w:space="0"/>
                    <w:right w:val="single" w:color="auto" w:sz="8" w:space="0"/>
                  </w:tcBorders>
                  <w:noWrap/>
                  <w:vAlign w:val="center"/>
                </w:tcPr>
                <w:p w14:paraId="357975B7">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1134" w:type="dxa"/>
                  <w:tcBorders>
                    <w:top w:val="nil"/>
                    <w:left w:val="nil"/>
                    <w:bottom w:val="single" w:color="auto" w:sz="8" w:space="0"/>
                    <w:right w:val="single" w:color="auto" w:sz="8" w:space="0"/>
                  </w:tcBorders>
                  <w:noWrap/>
                  <w:vAlign w:val="center"/>
                </w:tcPr>
                <w:p w14:paraId="0FA5B231">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8" w:space="0"/>
                    <w:right w:val="single" w:color="auto" w:sz="8" w:space="0"/>
                  </w:tcBorders>
                  <w:noWrap/>
                  <w:vAlign w:val="center"/>
                </w:tcPr>
                <w:p w14:paraId="62B1CAEE">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0.04</w:t>
                  </w:r>
                </w:p>
              </w:tc>
              <w:tc>
                <w:tcPr>
                  <w:tcW w:w="1276" w:type="dxa"/>
                  <w:tcBorders>
                    <w:top w:val="nil"/>
                    <w:left w:val="nil"/>
                    <w:bottom w:val="single" w:color="auto" w:sz="8" w:space="0"/>
                    <w:right w:val="single" w:color="auto" w:sz="8" w:space="0"/>
                  </w:tcBorders>
                  <w:noWrap/>
                  <w:vAlign w:val="center"/>
                </w:tcPr>
                <w:p w14:paraId="59C2F117">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vMerge w:val="continue"/>
                  <w:tcBorders>
                    <w:top w:val="nil"/>
                    <w:left w:val="single" w:color="auto" w:sz="8" w:space="0"/>
                    <w:bottom w:val="single" w:color="000000" w:sz="8" w:space="0"/>
                    <w:right w:val="single" w:color="auto" w:sz="8" w:space="0"/>
                  </w:tcBorders>
                  <w:vAlign w:val="center"/>
                </w:tcPr>
                <w:p w14:paraId="26A7D706">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c>
                <w:tcPr>
                  <w:tcW w:w="501" w:type="dxa"/>
                  <w:vMerge w:val="continue"/>
                  <w:tcBorders>
                    <w:top w:val="nil"/>
                    <w:left w:val="single" w:color="auto" w:sz="8" w:space="0"/>
                    <w:bottom w:val="single" w:color="000000" w:sz="8" w:space="0"/>
                    <w:right w:val="nil"/>
                  </w:tcBorders>
                  <w:vAlign w:val="center"/>
                </w:tcPr>
                <w:p w14:paraId="0FF0C897">
                  <w:pPr>
                    <w:widowControl/>
                    <w:autoSpaceDE/>
                    <w:autoSpaceDN/>
                    <w:spacing w:line="240" w:lineRule="auto"/>
                    <w:ind w:firstLine="0" w:firstLineChars="0"/>
                    <w:jc w:val="left"/>
                    <w:rPr>
                      <w:rFonts w:hint="eastAsia" w:ascii="新宋体" w:hAnsi="新宋体" w:eastAsia="新宋体" w:cs="宋体"/>
                      <w:color w:val="auto"/>
                      <w:kern w:val="0"/>
                      <w:sz w:val="18"/>
                      <w:szCs w:val="18"/>
                    </w:rPr>
                  </w:pPr>
                </w:p>
              </w:tc>
            </w:tr>
            <w:tr w14:paraId="3104866F">
              <w:tblPrEx>
                <w:tblCellMar>
                  <w:top w:w="0" w:type="dxa"/>
                  <w:left w:w="108" w:type="dxa"/>
                  <w:bottom w:w="0" w:type="dxa"/>
                  <w:right w:w="108" w:type="dxa"/>
                </w:tblCellMar>
              </w:tblPrEx>
              <w:trPr>
                <w:trHeight w:val="20" w:hRule="atLeast"/>
              </w:trPr>
              <w:tc>
                <w:tcPr>
                  <w:tcW w:w="2135" w:type="dxa"/>
                  <w:gridSpan w:val="2"/>
                  <w:tcBorders>
                    <w:top w:val="single" w:color="auto" w:sz="8" w:space="0"/>
                    <w:left w:val="nil"/>
                    <w:bottom w:val="single" w:color="auto" w:sz="12" w:space="0"/>
                    <w:right w:val="single" w:color="000000" w:sz="8" w:space="0"/>
                  </w:tcBorders>
                  <w:vAlign w:val="center"/>
                </w:tcPr>
                <w:p w14:paraId="35B473B3">
                  <w:pPr>
                    <w:widowControl/>
                    <w:autoSpaceDE/>
                    <w:autoSpaceDN/>
                    <w:spacing w:line="240" w:lineRule="auto"/>
                    <w:ind w:firstLine="0" w:firstLineChars="0"/>
                    <w:jc w:val="center"/>
                    <w:rPr>
                      <w:rFonts w:hint="eastAsia" w:ascii="新宋体" w:hAnsi="新宋体" w:eastAsia="新宋体" w:cs="宋体"/>
                      <w:color w:val="auto"/>
                      <w:kern w:val="0"/>
                      <w:sz w:val="18"/>
                      <w:szCs w:val="18"/>
                    </w:rPr>
                  </w:pPr>
                  <w:r>
                    <w:rPr>
                      <w:rFonts w:hint="eastAsia" w:ascii="新宋体" w:hAnsi="新宋体" w:eastAsia="新宋体" w:cs="宋体"/>
                      <w:color w:val="auto"/>
                      <w:kern w:val="0"/>
                      <w:sz w:val="18"/>
                      <w:szCs w:val="18"/>
                    </w:rPr>
                    <w:t>合计</w:t>
                  </w:r>
                </w:p>
              </w:tc>
              <w:tc>
                <w:tcPr>
                  <w:tcW w:w="638" w:type="dxa"/>
                  <w:tcBorders>
                    <w:top w:val="nil"/>
                    <w:left w:val="nil"/>
                    <w:bottom w:val="single" w:color="auto" w:sz="12" w:space="0"/>
                    <w:right w:val="single" w:color="auto" w:sz="8" w:space="0"/>
                  </w:tcBorders>
                  <w:vAlign w:val="center"/>
                </w:tcPr>
                <w:p w14:paraId="66C758D1">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8.89</w:t>
                  </w:r>
                </w:p>
              </w:tc>
              <w:tc>
                <w:tcPr>
                  <w:tcW w:w="638" w:type="dxa"/>
                  <w:tcBorders>
                    <w:top w:val="nil"/>
                    <w:left w:val="nil"/>
                    <w:bottom w:val="single" w:color="auto" w:sz="12" w:space="0"/>
                    <w:right w:val="single" w:color="auto" w:sz="8" w:space="0"/>
                  </w:tcBorders>
                  <w:vAlign w:val="center"/>
                </w:tcPr>
                <w:p w14:paraId="08A72C03">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8.89</w:t>
                  </w:r>
                </w:p>
              </w:tc>
              <w:tc>
                <w:tcPr>
                  <w:tcW w:w="708" w:type="dxa"/>
                  <w:tcBorders>
                    <w:top w:val="nil"/>
                    <w:left w:val="nil"/>
                    <w:bottom w:val="single" w:color="auto" w:sz="12" w:space="0"/>
                    <w:right w:val="single" w:color="auto" w:sz="8" w:space="0"/>
                  </w:tcBorders>
                  <w:vAlign w:val="center"/>
                </w:tcPr>
                <w:p w14:paraId="105019A7">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0.18</w:t>
                  </w:r>
                </w:p>
              </w:tc>
              <w:tc>
                <w:tcPr>
                  <w:tcW w:w="1134" w:type="dxa"/>
                  <w:tcBorders>
                    <w:top w:val="nil"/>
                    <w:left w:val="nil"/>
                    <w:bottom w:val="single" w:color="auto" w:sz="12" w:space="0"/>
                    <w:right w:val="single" w:color="auto" w:sz="8" w:space="0"/>
                  </w:tcBorders>
                  <w:vAlign w:val="center"/>
                </w:tcPr>
                <w:p w14:paraId="6BF4D5BC">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709" w:type="dxa"/>
                  <w:tcBorders>
                    <w:top w:val="nil"/>
                    <w:left w:val="nil"/>
                    <w:bottom w:val="single" w:color="auto" w:sz="12" w:space="0"/>
                    <w:right w:val="single" w:color="auto" w:sz="8" w:space="0"/>
                  </w:tcBorders>
                  <w:vAlign w:val="center"/>
                </w:tcPr>
                <w:p w14:paraId="2AB884BC">
                  <w:pPr>
                    <w:widowControl/>
                    <w:autoSpaceDE/>
                    <w:autoSpaceDN/>
                    <w:spacing w:line="240" w:lineRule="auto"/>
                    <w:ind w:firstLine="0" w:firstLineChars="0"/>
                    <w:jc w:val="center"/>
                    <w:rPr>
                      <w:rFonts w:eastAsia="等线"/>
                      <w:color w:val="auto"/>
                      <w:kern w:val="0"/>
                      <w:sz w:val="18"/>
                      <w:szCs w:val="18"/>
                    </w:rPr>
                  </w:pPr>
                  <w:r>
                    <w:rPr>
                      <w:rFonts w:eastAsia="等线"/>
                      <w:color w:val="auto"/>
                      <w:kern w:val="0"/>
                      <w:sz w:val="18"/>
                      <w:szCs w:val="18"/>
                    </w:rPr>
                    <w:t>0.18</w:t>
                  </w:r>
                </w:p>
              </w:tc>
              <w:tc>
                <w:tcPr>
                  <w:tcW w:w="1276" w:type="dxa"/>
                  <w:tcBorders>
                    <w:top w:val="nil"/>
                    <w:left w:val="nil"/>
                    <w:bottom w:val="single" w:color="auto" w:sz="12" w:space="0"/>
                    <w:right w:val="single" w:color="auto" w:sz="8" w:space="0"/>
                  </w:tcBorders>
                  <w:vAlign w:val="center"/>
                </w:tcPr>
                <w:p w14:paraId="03C8E875">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425" w:type="dxa"/>
                  <w:tcBorders>
                    <w:top w:val="nil"/>
                    <w:left w:val="nil"/>
                    <w:bottom w:val="single" w:color="auto" w:sz="12" w:space="0"/>
                    <w:right w:val="single" w:color="auto" w:sz="8" w:space="0"/>
                  </w:tcBorders>
                  <w:vAlign w:val="center"/>
                </w:tcPr>
                <w:p w14:paraId="4D8A80E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c>
                <w:tcPr>
                  <w:tcW w:w="501" w:type="dxa"/>
                  <w:tcBorders>
                    <w:top w:val="nil"/>
                    <w:left w:val="nil"/>
                    <w:bottom w:val="single" w:color="auto" w:sz="12" w:space="0"/>
                    <w:right w:val="nil"/>
                  </w:tcBorders>
                  <w:vAlign w:val="center"/>
                </w:tcPr>
                <w:p w14:paraId="55802B28">
                  <w:pPr>
                    <w:widowControl/>
                    <w:autoSpaceDE/>
                    <w:autoSpaceDN/>
                    <w:spacing w:line="240" w:lineRule="auto"/>
                    <w:ind w:firstLine="0" w:firstLineChars="0"/>
                    <w:jc w:val="center"/>
                    <w:rPr>
                      <w:rFonts w:eastAsia="等线"/>
                      <w:color w:val="auto"/>
                      <w:kern w:val="0"/>
                      <w:sz w:val="18"/>
                      <w:szCs w:val="18"/>
                    </w:rPr>
                  </w:pPr>
                  <w:r>
                    <w:rPr>
                      <w:rFonts w:hint="eastAsia" w:eastAsia="等线"/>
                      <w:color w:val="auto"/>
                      <w:kern w:val="0"/>
                      <w:sz w:val="18"/>
                      <w:szCs w:val="18"/>
                    </w:rPr>
                    <w:t>　</w:t>
                  </w:r>
                </w:p>
              </w:tc>
            </w:tr>
          </w:tbl>
          <w:p w14:paraId="09D2BBA9">
            <w:pPr>
              <w:ind w:firstLine="480"/>
              <w:rPr>
                <w:color w:val="auto"/>
              </w:rPr>
            </w:pPr>
          </w:p>
        </w:tc>
      </w:tr>
      <w:tr w14:paraId="5CA87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710" w:type="dxa"/>
            <w:vAlign w:val="center"/>
          </w:tcPr>
          <w:p w14:paraId="6EDEA13B">
            <w:pPr>
              <w:adjustRightInd w:val="0"/>
              <w:snapToGrid w:val="0"/>
              <w:ind w:firstLine="0" w:firstLineChars="0"/>
              <w:rPr>
                <w:color w:val="auto"/>
                <w:kern w:val="0"/>
              </w:rPr>
            </w:pPr>
            <w:r>
              <w:rPr>
                <w:color w:val="auto"/>
                <w:kern w:val="0"/>
              </w:rPr>
              <w:t>其他</w:t>
            </w:r>
          </w:p>
        </w:tc>
        <w:tc>
          <w:tcPr>
            <w:tcW w:w="8380" w:type="dxa"/>
          </w:tcPr>
          <w:p w14:paraId="160D0877">
            <w:pPr>
              <w:adjustRightInd w:val="0"/>
              <w:snapToGrid w:val="0"/>
              <w:ind w:firstLine="482"/>
              <w:rPr>
                <w:b/>
                <w:bCs/>
                <w:color w:val="auto"/>
                <w:kern w:val="0"/>
              </w:rPr>
            </w:pPr>
            <w:r>
              <w:rPr>
                <w:rFonts w:hint="eastAsia"/>
                <w:b/>
                <w:bCs/>
                <w:color w:val="auto"/>
                <w:kern w:val="0"/>
              </w:rPr>
              <w:t>一、工程方案比选</w:t>
            </w:r>
          </w:p>
          <w:p w14:paraId="3ED0AF7B">
            <w:pPr>
              <w:adjustRightInd w:val="0"/>
              <w:snapToGrid w:val="0"/>
              <w:ind w:firstLine="480"/>
              <w:rPr>
                <w:color w:val="auto"/>
                <w:kern w:val="0"/>
              </w:rPr>
            </w:pPr>
            <w:r>
              <w:rPr>
                <w:rFonts w:hint="eastAsia"/>
                <w:color w:val="auto"/>
                <w:kern w:val="0"/>
              </w:rPr>
              <w:t>本工程为饮水管网及灌溉水利设施建设工程，</w:t>
            </w:r>
            <w:r>
              <w:rPr>
                <w:rFonts w:hint="eastAsia"/>
                <w:color w:val="auto"/>
              </w:rPr>
              <w:t>解决</w:t>
            </w:r>
            <w:r>
              <w:rPr>
                <w:color w:val="auto"/>
              </w:rPr>
              <w:t>观山坪村2000名居民</w:t>
            </w:r>
            <w:r>
              <w:rPr>
                <w:rFonts w:hint="eastAsia"/>
                <w:color w:val="auto"/>
              </w:rPr>
              <w:t>用水以及铁佛至麻石片区16393人的居民用水；解决11270亩农田灌溉问题。项目选址已避让生态保护红线、国家公园、自然保护区、风景名胜区、世界文化和自然遗产地、饮用水水源保护区等生态敏感区；不占用永久基本农田、基本草原、自然公园、重要湿地等。工程取水水原确定，为尽可能避让植被茂密区，减少占地的生态环境影响，管道尽量沿既有道路敷设，管道路径唯一。</w:t>
            </w:r>
          </w:p>
          <w:p w14:paraId="6DDC3C0F">
            <w:pPr>
              <w:adjustRightInd w:val="0"/>
              <w:snapToGrid w:val="0"/>
              <w:ind w:firstLine="482"/>
              <w:rPr>
                <w:b/>
                <w:bCs/>
                <w:color w:val="auto"/>
                <w:kern w:val="0"/>
              </w:rPr>
            </w:pPr>
            <w:r>
              <w:rPr>
                <w:rFonts w:hint="eastAsia"/>
                <w:b/>
                <w:bCs/>
                <w:color w:val="auto"/>
                <w:kern w:val="0"/>
              </w:rPr>
              <w:t>二、铁佛水厂纳水可行性分析</w:t>
            </w:r>
          </w:p>
          <w:p w14:paraId="754E20C1">
            <w:pPr>
              <w:adjustRightInd w:val="0"/>
              <w:snapToGrid w:val="0"/>
              <w:ind w:firstLine="480"/>
              <w:rPr>
                <w:color w:val="auto"/>
                <w:kern w:val="0"/>
              </w:rPr>
            </w:pPr>
            <w:r>
              <w:rPr>
                <w:rFonts w:hint="eastAsia"/>
                <w:color w:val="auto"/>
                <w:kern w:val="0"/>
              </w:rPr>
              <w:t>通江县乡镇供水总站于2017年1月18日取得《通江县环境保护局（现巴中市通江生态环境局）关于通江县铁佛镇场镇供水及基础设施建设项目环境影响报告表的批复》（通环审批〔2017〕7号），该项目水厂（即铁佛水厂）选址于通江县铁佛镇金斗岩村1社，管网铺设覆盖铁佛镇场镇。项目主要建设内容及规模：新建日处理能力1.5万吨净水厂及取水站一座，输配水管网47.3km，设计供水总人口50000人。建设内容主要分为取水部分、净水厂部分以及输配水管部分三部分，具体包括取水泵房、配水井、送水泵房、加药间、综合楼以及覆盖铁佛镇场镇的输水管网等。</w:t>
            </w:r>
          </w:p>
          <w:p w14:paraId="34F8ED62">
            <w:pPr>
              <w:adjustRightInd w:val="0"/>
              <w:snapToGrid w:val="0"/>
              <w:ind w:firstLine="480"/>
              <w:rPr>
                <w:color w:val="auto"/>
                <w:kern w:val="0"/>
              </w:rPr>
            </w:pPr>
            <w:r>
              <w:rPr>
                <w:rFonts w:hint="eastAsia"/>
                <w:color w:val="auto"/>
                <w:kern w:val="0"/>
              </w:rPr>
              <w:t>根据调查，铁佛水厂目前已完成一期工程建设，处理规模达10000m</w:t>
            </w:r>
            <w:r>
              <w:rPr>
                <w:rFonts w:hint="eastAsia"/>
                <w:color w:val="auto"/>
                <w:kern w:val="0"/>
                <w:vertAlign w:val="superscript"/>
              </w:rPr>
              <w:t>3</w:t>
            </w:r>
            <w:r>
              <w:rPr>
                <w:rFonts w:hint="eastAsia"/>
                <w:color w:val="auto"/>
                <w:kern w:val="0"/>
              </w:rPr>
              <w:t>/d，余二期工程5000m</w:t>
            </w:r>
            <w:r>
              <w:rPr>
                <w:rFonts w:hint="eastAsia"/>
                <w:color w:val="auto"/>
                <w:kern w:val="0"/>
                <w:vertAlign w:val="superscript"/>
              </w:rPr>
              <w:t>3</w:t>
            </w:r>
            <w:r>
              <w:rPr>
                <w:rFonts w:hint="eastAsia"/>
                <w:color w:val="auto"/>
                <w:kern w:val="0"/>
              </w:rPr>
              <w:t>/d处理量未建设。铁佛水厂现取水于澌滩河水，目前处理量为2500m</w:t>
            </w:r>
            <w:r>
              <w:rPr>
                <w:rFonts w:hint="eastAsia"/>
                <w:color w:val="auto"/>
                <w:kern w:val="0"/>
                <w:vertAlign w:val="superscript"/>
              </w:rPr>
              <w:t>3</w:t>
            </w:r>
            <w:r>
              <w:rPr>
                <w:rFonts w:hint="eastAsia"/>
                <w:color w:val="auto"/>
                <w:kern w:val="0"/>
              </w:rPr>
              <w:t>/d。</w:t>
            </w:r>
          </w:p>
          <w:p w14:paraId="4CB78BA9">
            <w:pPr>
              <w:adjustRightInd w:val="0"/>
              <w:snapToGrid w:val="0"/>
              <w:ind w:firstLine="480"/>
              <w:rPr>
                <w:color w:val="auto"/>
                <w:kern w:val="0"/>
              </w:rPr>
            </w:pPr>
            <w:r>
              <w:rPr>
                <w:rFonts w:hint="eastAsia"/>
                <w:color w:val="auto"/>
                <w:kern w:val="0"/>
              </w:rPr>
              <w:t>由于澌滩河取水水量不足以满足麻石镇需求水量，本项目新建王家河水库~铁佛水厂输水管道DN350螺旋焊接钢管8.48km（配套提水设施及管道附属构筑物），以王家河水库水作为取水水源。新建铁佛水厂至麻石镇配水主管道共计14.25km（配套加压泵房及管道附属构筑物）作为麻石镇配水线。本项目建成后铁佛水厂处理量为</w:t>
            </w:r>
            <w:r>
              <w:rPr>
                <w:color w:val="auto"/>
                <w:kern w:val="0"/>
              </w:rPr>
              <w:t>7750m</w:t>
            </w:r>
            <w:r>
              <w:rPr>
                <w:color w:val="auto"/>
                <w:kern w:val="0"/>
                <w:vertAlign w:val="superscript"/>
              </w:rPr>
              <w:t>3</w:t>
            </w:r>
            <w:r>
              <w:rPr>
                <w:color w:val="auto"/>
                <w:kern w:val="0"/>
              </w:rPr>
              <w:t>/d</w:t>
            </w:r>
            <w:r>
              <w:rPr>
                <w:rFonts w:hint="eastAsia"/>
                <w:color w:val="auto"/>
                <w:kern w:val="0"/>
              </w:rPr>
              <w:t>，小于设计规模10000m</w:t>
            </w:r>
            <w:r>
              <w:rPr>
                <w:rFonts w:hint="eastAsia"/>
                <w:color w:val="auto"/>
                <w:kern w:val="0"/>
                <w:vertAlign w:val="superscript"/>
              </w:rPr>
              <w:t>3</w:t>
            </w:r>
            <w:r>
              <w:rPr>
                <w:rFonts w:hint="eastAsia"/>
                <w:color w:val="auto"/>
                <w:kern w:val="0"/>
              </w:rPr>
              <w:t>/d，能够进行依托。</w:t>
            </w:r>
          </w:p>
          <w:p w14:paraId="3875C20A">
            <w:pPr>
              <w:adjustRightInd w:val="0"/>
              <w:snapToGrid w:val="0"/>
              <w:ind w:firstLine="480"/>
              <w:rPr>
                <w:color w:val="auto"/>
                <w:kern w:val="0"/>
              </w:rPr>
            </w:pPr>
            <w:r>
              <w:rPr>
                <w:rFonts w:hint="eastAsia"/>
                <w:color w:val="auto"/>
                <w:kern w:val="0"/>
              </w:rPr>
              <w:t>铁佛水厂</w:t>
            </w:r>
            <w:r>
              <w:rPr>
                <w:color w:val="auto"/>
                <w:kern w:val="0"/>
              </w:rPr>
              <w:t>采用目前较为成熟的自</w:t>
            </w:r>
            <w:r>
              <w:rPr>
                <w:rFonts w:hint="eastAsia"/>
                <w:color w:val="auto"/>
                <w:kern w:val="0"/>
              </w:rPr>
              <w:t>来</w:t>
            </w:r>
            <w:r>
              <w:rPr>
                <w:color w:val="auto"/>
                <w:kern w:val="0"/>
              </w:rPr>
              <w:t>水处理工艺，即采用混凝沉淀、过滤、消毒的净水过程。净水工艺见</w:t>
            </w:r>
            <w:r>
              <w:rPr>
                <w:rFonts w:hint="eastAsia"/>
                <w:color w:val="auto"/>
                <w:kern w:val="0"/>
              </w:rPr>
              <w:t>下</w:t>
            </w:r>
            <w:r>
              <w:rPr>
                <w:color w:val="auto"/>
                <w:kern w:val="0"/>
              </w:rPr>
              <w:t>图</w:t>
            </w:r>
            <w:r>
              <w:rPr>
                <w:rFonts w:hint="eastAsia"/>
                <w:color w:val="auto"/>
                <w:kern w:val="0"/>
              </w:rPr>
              <w:t>：</w:t>
            </w:r>
          </w:p>
          <w:p w14:paraId="18A1C5D6">
            <w:pPr>
              <w:adjustRightInd w:val="0"/>
              <w:snapToGrid w:val="0"/>
              <w:ind w:firstLine="0" w:firstLineChars="0"/>
              <w:jc w:val="center"/>
              <w:rPr>
                <w:color w:val="auto"/>
              </w:rPr>
            </w:pPr>
            <w:r>
              <w:rPr>
                <w:color w:val="auto"/>
              </w:rPr>
              <w:t xml:space="preserve"> </w:t>
            </w:r>
            <w:r>
              <w:rPr>
                <w:color w:val="auto"/>
              </w:rPr>
              <w:drawing>
                <wp:inline distT="0" distB="0" distL="0" distR="0">
                  <wp:extent cx="4936490" cy="3445510"/>
                  <wp:effectExtent l="0" t="0" r="0" b="0"/>
                  <wp:docPr id="13178279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27930" name="图片 2"/>
                          <pic:cNvPicPr>
                            <a:picLocks noChangeAspect="1"/>
                          </pic:cNvPicPr>
                        </pic:nvPicPr>
                        <pic:blipFill>
                          <a:blip r:embed="rId18"/>
                          <a:stretch>
                            <a:fillRect/>
                          </a:stretch>
                        </pic:blipFill>
                        <pic:spPr>
                          <a:xfrm>
                            <a:off x="0" y="0"/>
                            <a:ext cx="4945982" cy="3452615"/>
                          </a:xfrm>
                          <a:prstGeom prst="rect">
                            <a:avLst/>
                          </a:prstGeom>
                        </pic:spPr>
                      </pic:pic>
                    </a:graphicData>
                  </a:graphic>
                </wp:inline>
              </w:drawing>
            </w:r>
          </w:p>
          <w:p w14:paraId="112F722B">
            <w:pPr>
              <w:pStyle w:val="17"/>
              <w:rPr>
                <w:rFonts w:hint="default"/>
                <w:color w:val="auto"/>
              </w:rPr>
            </w:pPr>
            <w:r>
              <w:rPr>
                <w:rFonts w:hint="default"/>
                <w:color w:val="auto"/>
              </w:rPr>
              <w:t>图</w:t>
            </w:r>
            <w:r>
              <w:rPr>
                <w:color w:val="auto"/>
              </w:rPr>
              <w:t>2</w:t>
            </w:r>
            <w:r>
              <w:rPr>
                <w:rFonts w:hint="default"/>
                <w:color w:val="auto"/>
              </w:rPr>
              <w:t>-</w:t>
            </w:r>
            <w:r>
              <w:rPr>
                <w:color w:val="auto"/>
              </w:rPr>
              <w:t xml:space="preserve">2 </w:t>
            </w:r>
            <w:r>
              <w:rPr>
                <w:rFonts w:hint="default"/>
                <w:color w:val="auto"/>
              </w:rPr>
              <w:t>净水工艺流程</w:t>
            </w:r>
          </w:p>
          <w:p w14:paraId="643BA3C6">
            <w:pPr>
              <w:adjustRightInd w:val="0"/>
              <w:snapToGrid w:val="0"/>
              <w:ind w:firstLine="480"/>
              <w:rPr>
                <w:color w:val="auto"/>
              </w:rPr>
            </w:pPr>
            <w:r>
              <w:rPr>
                <w:color w:val="auto"/>
              </w:rPr>
              <w:t>①原水通过输水管道送至净水厂，在进配水井前通入二氧化氯发生器产生的气体，并在配水井内均质，已达到杀死部分细菌的作用。</w:t>
            </w:r>
          </w:p>
          <w:p w14:paraId="5F06E00F">
            <w:pPr>
              <w:adjustRightInd w:val="0"/>
              <w:snapToGrid w:val="0"/>
              <w:ind w:firstLine="480"/>
              <w:rPr>
                <w:color w:val="auto"/>
              </w:rPr>
            </w:pPr>
            <w:r>
              <w:rPr>
                <w:color w:val="auto"/>
              </w:rPr>
              <w:t>②进过初步杀菌的水加入PAC</w:t>
            </w:r>
            <w:r>
              <w:rPr>
                <w:rFonts w:hint="eastAsia"/>
                <w:color w:val="auto"/>
              </w:rPr>
              <w:t>（</w:t>
            </w:r>
            <w:r>
              <w:rPr>
                <w:color w:val="auto"/>
              </w:rPr>
              <w:t>碱式氯化铝</w:t>
            </w:r>
            <w:r>
              <w:rPr>
                <w:rFonts w:hint="eastAsia"/>
                <w:color w:val="auto"/>
              </w:rPr>
              <w:t>）</w:t>
            </w:r>
            <w:r>
              <w:rPr>
                <w:color w:val="auto"/>
              </w:rPr>
              <w:t>进入栅条絮凝斜管沉淀池内絮凝沉淀，通过水体总的胶体和溶解性固体与絮凝剂发生絮凝作用，形成较大颗粒絮凝体，经沉淀后从水中分离出来，达到净化水的目的。</w:t>
            </w:r>
          </w:p>
          <w:p w14:paraId="25CE8654">
            <w:pPr>
              <w:adjustRightInd w:val="0"/>
              <w:snapToGrid w:val="0"/>
              <w:ind w:firstLine="480"/>
              <w:rPr>
                <w:color w:val="auto"/>
              </w:rPr>
            </w:pPr>
            <w:r>
              <w:rPr>
                <w:color w:val="auto"/>
              </w:rPr>
              <w:t>③沉淀后的上清液进入重力式无阀滤池，对水体进一步过滤，提高水质质量，当滤池运行一段时间后，需要进行反冲洗以去除滤料上富集的颗粒物，保证滤池的运行效率。反冲洗主要靠滤池内部虹吸管完成自动冲洗。</w:t>
            </w:r>
          </w:p>
          <w:p w14:paraId="7F04070C">
            <w:pPr>
              <w:adjustRightInd w:val="0"/>
              <w:snapToGrid w:val="0"/>
              <w:ind w:firstLine="480"/>
              <w:rPr>
                <w:color w:val="auto"/>
              </w:rPr>
            </w:pPr>
            <w:r>
              <w:rPr>
                <w:color w:val="auto"/>
              </w:rPr>
              <w:t>④经过滤池处理后的清水加入二氧化氯气体，进行供水前再消毒，进入清水池内，并定期对清水池内的进行抽检，确保供水水质能够达到标准。最终通过送水泵房加压进入输水管网内，以完成供水任务。</w:t>
            </w:r>
          </w:p>
          <w:p w14:paraId="588F62F3">
            <w:pPr>
              <w:adjustRightInd w:val="0"/>
              <w:snapToGrid w:val="0"/>
              <w:ind w:firstLine="480"/>
              <w:rPr>
                <w:color w:val="auto"/>
              </w:rPr>
            </w:pPr>
            <w:r>
              <w:rPr>
                <w:color w:val="auto"/>
              </w:rPr>
              <w:t>⑤二氧化氯发生器原理</w:t>
            </w:r>
            <w:r>
              <w:rPr>
                <w:rFonts w:hint="eastAsia"/>
                <w:color w:val="auto"/>
              </w:rPr>
              <w:t>：</w:t>
            </w:r>
            <w:r>
              <w:rPr>
                <w:color w:val="auto"/>
              </w:rPr>
              <w:t>氯酸钠与盐酸反应得到二氧化氯和氯气的混合气体，二氧化氯和氯气对水均有消毒作用，极易溶于水。2NaC1</w:t>
            </w:r>
            <w:r>
              <w:rPr>
                <w:rFonts w:hint="eastAsia"/>
                <w:color w:val="auto"/>
              </w:rPr>
              <w:t>O</w:t>
            </w:r>
            <w:r>
              <w:rPr>
                <w:rFonts w:hint="eastAsia"/>
                <w:color w:val="auto"/>
                <w:vertAlign w:val="subscript"/>
              </w:rPr>
              <w:t>3</w:t>
            </w:r>
            <w:r>
              <w:rPr>
                <w:color w:val="auto"/>
              </w:rPr>
              <w:t>+4HC1=2C1</w:t>
            </w:r>
            <w:r>
              <w:rPr>
                <w:rFonts w:hint="eastAsia"/>
                <w:color w:val="auto"/>
              </w:rPr>
              <w:t>O</w:t>
            </w:r>
            <w:r>
              <w:rPr>
                <w:rFonts w:hint="eastAsia"/>
                <w:color w:val="auto"/>
                <w:vertAlign w:val="subscript"/>
              </w:rPr>
              <w:t>2</w:t>
            </w:r>
            <w:r>
              <w:rPr>
                <w:color w:val="auto"/>
              </w:rPr>
              <w:t>+C1</w:t>
            </w:r>
            <w:r>
              <w:rPr>
                <w:color w:val="auto"/>
                <w:vertAlign w:val="subscript"/>
              </w:rPr>
              <w:t>2</w:t>
            </w:r>
            <w:r>
              <w:rPr>
                <w:color w:val="auto"/>
              </w:rPr>
              <w:t>+NaC1+2H</w:t>
            </w:r>
            <w:r>
              <w:rPr>
                <w:rFonts w:hint="eastAsia"/>
                <w:color w:val="auto"/>
                <w:vertAlign w:val="subscript"/>
              </w:rPr>
              <w:t>2</w:t>
            </w:r>
            <w:r>
              <w:rPr>
                <w:rFonts w:hint="eastAsia"/>
                <w:color w:val="auto"/>
              </w:rPr>
              <w:t>O</w:t>
            </w:r>
            <w:r>
              <w:rPr>
                <w:color w:val="auto"/>
              </w:rPr>
              <w:t>。</w:t>
            </w:r>
          </w:p>
          <w:p w14:paraId="50475C30">
            <w:pPr>
              <w:ind w:firstLine="480"/>
              <w:rPr>
                <w:color w:val="auto"/>
              </w:rPr>
            </w:pPr>
            <w:r>
              <w:rPr>
                <w:color w:val="auto"/>
              </w:rPr>
              <w:t>2025年8月</w:t>
            </w:r>
            <w:r>
              <w:rPr>
                <w:rFonts w:hint="eastAsia"/>
                <w:color w:val="auto"/>
              </w:rPr>
              <w:t>、11月以有监测</w:t>
            </w:r>
            <w:r>
              <w:rPr>
                <w:color w:val="auto"/>
              </w:rPr>
              <w:t>结果表明，王家河水库取水口断面综合水质类别为Ⅱ类，综合水质状况为优。</w:t>
            </w:r>
            <w:r>
              <w:rPr>
                <w:rFonts w:hint="eastAsia"/>
                <w:color w:val="auto"/>
              </w:rPr>
              <w:t>王家河水库可作为铁佛水厂取水水源，水源水经铁佛水厂处理后能达到自来水供水标准。</w:t>
            </w:r>
          </w:p>
        </w:tc>
      </w:tr>
    </w:tbl>
    <w:p w14:paraId="4661EB8D">
      <w:pPr>
        <w:ind w:firstLine="482"/>
        <w:jc w:val="center"/>
        <w:outlineLvl w:val="0"/>
        <w:rPr>
          <w:rFonts w:eastAsia="仿宋_GB2312"/>
          <w:b/>
          <w:bCs/>
          <w:color w:val="auto"/>
        </w:rPr>
        <w:sectPr>
          <w:pgSz w:w="11906" w:h="16838"/>
          <w:pgMar w:top="1440" w:right="1800" w:bottom="1440" w:left="1800" w:header="851" w:footer="1077" w:gutter="0"/>
          <w:cols w:space="720" w:num="1"/>
          <w:docGrid w:linePitch="312" w:charSpace="0"/>
        </w:sectPr>
      </w:pPr>
    </w:p>
    <w:p w14:paraId="35965677">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三、生态环境现状、保护目标及评价标准</w:t>
      </w:r>
    </w:p>
    <w:tbl>
      <w:tblPr>
        <w:tblStyle w:val="12"/>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8541"/>
      </w:tblGrid>
      <w:tr w14:paraId="5BCE99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637FEFB1">
            <w:pPr>
              <w:adjustRightInd w:val="0"/>
              <w:snapToGrid w:val="0"/>
              <w:ind w:firstLine="0" w:firstLineChars="0"/>
              <w:rPr>
                <w:color w:val="auto"/>
                <w:kern w:val="0"/>
                <w:sz w:val="21"/>
                <w:szCs w:val="21"/>
              </w:rPr>
            </w:pPr>
            <w:r>
              <w:rPr>
                <w:rFonts w:hint="eastAsia"/>
                <w:color w:val="auto"/>
                <w:kern w:val="0"/>
                <w:sz w:val="21"/>
                <w:szCs w:val="21"/>
              </w:rPr>
              <w:t>生态环境现状</w:t>
            </w:r>
          </w:p>
        </w:tc>
        <w:tc>
          <w:tcPr>
            <w:tcW w:w="8305" w:type="dxa"/>
            <w:vAlign w:val="center"/>
          </w:tcPr>
          <w:p w14:paraId="3E1B38AF">
            <w:pPr>
              <w:ind w:firstLine="482"/>
              <w:rPr>
                <w:b/>
                <w:bCs/>
                <w:color w:val="auto"/>
              </w:rPr>
            </w:pPr>
            <w:r>
              <w:rPr>
                <w:b/>
                <w:bCs/>
                <w:color w:val="auto"/>
              </w:rPr>
              <w:t>一、</w:t>
            </w:r>
            <w:r>
              <w:rPr>
                <w:rFonts w:hint="eastAsia"/>
                <w:b/>
                <w:bCs/>
                <w:color w:val="auto"/>
              </w:rPr>
              <w:t>生态</w:t>
            </w:r>
            <w:r>
              <w:rPr>
                <w:b/>
                <w:bCs/>
                <w:color w:val="auto"/>
              </w:rPr>
              <w:t>功能区划</w:t>
            </w:r>
          </w:p>
          <w:p w14:paraId="158E2B0F">
            <w:pPr>
              <w:ind w:firstLine="482"/>
              <w:rPr>
                <w:b/>
                <w:bCs/>
                <w:color w:val="auto"/>
              </w:rPr>
            </w:pPr>
            <w:r>
              <w:rPr>
                <w:rFonts w:hint="eastAsia"/>
                <w:b/>
                <w:bCs/>
                <w:color w:val="auto"/>
              </w:rPr>
              <w:t>1</w:t>
            </w:r>
            <w:r>
              <w:rPr>
                <w:b/>
                <w:bCs/>
                <w:color w:val="auto"/>
              </w:rPr>
              <w:t>、生态功能区划</w:t>
            </w:r>
          </w:p>
          <w:p w14:paraId="0A16A509">
            <w:pPr>
              <w:ind w:firstLine="480"/>
              <w:rPr>
                <w:color w:val="auto"/>
              </w:rPr>
            </w:pPr>
            <w:r>
              <w:rPr>
                <w:rFonts w:hint="eastAsia"/>
                <w:color w:val="auto"/>
              </w:rPr>
              <w:t>（</w:t>
            </w:r>
            <w:r>
              <w:rPr>
                <w:color w:val="auto"/>
              </w:rPr>
              <w:t>1</w:t>
            </w:r>
            <w:r>
              <w:rPr>
                <w:rFonts w:hint="eastAsia"/>
                <w:color w:val="auto"/>
              </w:rPr>
              <w:t>）</w:t>
            </w:r>
            <w:r>
              <w:rPr>
                <w:color w:val="auto"/>
              </w:rPr>
              <w:t>全国生态功能区划</w:t>
            </w:r>
          </w:p>
          <w:p w14:paraId="21C601CB">
            <w:pPr>
              <w:ind w:firstLine="480"/>
              <w:rPr>
                <w:color w:val="auto"/>
              </w:rPr>
            </w:pPr>
            <w:r>
              <w:rPr>
                <w:color w:val="auto"/>
              </w:rPr>
              <w:t>根据《全国生态功能区划</w:t>
            </w:r>
            <w:r>
              <w:rPr>
                <w:rFonts w:hint="eastAsia"/>
                <w:color w:val="auto"/>
              </w:rPr>
              <w:t>（</w:t>
            </w:r>
            <w:r>
              <w:rPr>
                <w:color w:val="auto"/>
              </w:rPr>
              <w:t>修编版</w:t>
            </w:r>
            <w:r>
              <w:rPr>
                <w:rFonts w:hint="eastAsia"/>
                <w:color w:val="auto"/>
              </w:rPr>
              <w:t>）</w:t>
            </w:r>
            <w:r>
              <w:rPr>
                <w:color w:val="auto"/>
              </w:rPr>
              <w:t>》，本项目所在地属于秦岭一大巴山生物多样性保护与水源涵养重要区。该区包括秦岭山地和大巴山地，包含3个功能区</w:t>
            </w:r>
            <w:r>
              <w:rPr>
                <w:rFonts w:hint="eastAsia"/>
                <w:color w:val="auto"/>
              </w:rPr>
              <w:t>：</w:t>
            </w:r>
            <w:r>
              <w:rPr>
                <w:color w:val="auto"/>
              </w:rPr>
              <w:t>米仓山一大巴山水源涵养功能区、秦岭山地生物多样性保护与水源涵养功能区和豫西南山地水源涵养功能区。该区地处我国亚热带与暖温带的过渡带，发育了以北亚热带为基带</w:t>
            </w:r>
            <w:r>
              <w:rPr>
                <w:rFonts w:hint="eastAsia"/>
                <w:color w:val="auto"/>
              </w:rPr>
              <w:t>（</w:t>
            </w:r>
            <w:r>
              <w:rPr>
                <w:color w:val="auto"/>
              </w:rPr>
              <w:t>南部</w:t>
            </w:r>
            <w:r>
              <w:rPr>
                <w:rFonts w:hint="eastAsia"/>
                <w:color w:val="auto"/>
              </w:rPr>
              <w:t>）</w:t>
            </w:r>
            <w:r>
              <w:rPr>
                <w:color w:val="auto"/>
              </w:rPr>
              <w:t>和暖温带为基带</w:t>
            </w:r>
            <w:r>
              <w:rPr>
                <w:rFonts w:hint="eastAsia"/>
                <w:color w:val="auto"/>
              </w:rPr>
              <w:t>（</w:t>
            </w:r>
            <w:r>
              <w:rPr>
                <w:color w:val="auto"/>
              </w:rPr>
              <w:t>北部</w:t>
            </w:r>
            <w:r>
              <w:rPr>
                <w:rFonts w:hint="eastAsia"/>
                <w:color w:val="auto"/>
              </w:rPr>
              <w:t>）</w:t>
            </w:r>
            <w:r>
              <w:rPr>
                <w:color w:val="auto"/>
              </w:rPr>
              <w:t>的垂直自然带谱，是我国乃至东南亚地区暖温带与北亚热带地区生物多样性最丰富的地区之一</w:t>
            </w:r>
            <w:r>
              <w:rPr>
                <w:rFonts w:hint="eastAsia"/>
                <w:color w:val="auto"/>
              </w:rPr>
              <w:t>，</w:t>
            </w:r>
            <w:r>
              <w:rPr>
                <w:color w:val="auto"/>
              </w:rPr>
              <w:t>是我国生物多样性重点保护区域。该区位于渭河南岸诸多支流的发源地和嘉陵江、汉江上游丹江水系的主要水源涵养区，是南水北调中线的水源地。</w:t>
            </w:r>
          </w:p>
          <w:p w14:paraId="443F9313">
            <w:pPr>
              <w:ind w:firstLine="480"/>
              <w:rPr>
                <w:color w:val="auto"/>
              </w:rPr>
            </w:pPr>
            <w:r>
              <w:rPr>
                <w:color w:val="auto"/>
              </w:rPr>
              <w:t>主要生态问题</w:t>
            </w:r>
            <w:r>
              <w:rPr>
                <w:rFonts w:hint="eastAsia"/>
                <w:color w:val="auto"/>
              </w:rPr>
              <w:t>：</w:t>
            </w:r>
            <w:r>
              <w:rPr>
                <w:color w:val="auto"/>
              </w:rPr>
              <w:t>该区森林质量与水源涵养功能较低，水电、矿产等资源开发的生态破坏较严重，地质灾害威胁严重，野生动植物栖息</w:t>
            </w:r>
            <w:r>
              <w:rPr>
                <w:rFonts w:hint="eastAsia"/>
                <w:color w:val="auto"/>
              </w:rPr>
              <w:t>生境</w:t>
            </w:r>
            <w:r>
              <w:rPr>
                <w:color w:val="auto"/>
              </w:rPr>
              <w:t>质量下降、破碎化加剧，生物多样性受到威胁。</w:t>
            </w:r>
          </w:p>
          <w:p w14:paraId="55FA20EF">
            <w:pPr>
              <w:ind w:firstLine="480"/>
              <w:rPr>
                <w:color w:val="auto"/>
              </w:rPr>
            </w:pPr>
            <w:r>
              <w:rPr>
                <w:color w:val="auto"/>
              </w:rPr>
              <w:t>生态保护主要措施</w:t>
            </w:r>
            <w:r>
              <w:rPr>
                <w:rFonts w:hint="eastAsia"/>
                <w:color w:val="auto"/>
              </w:rPr>
              <w:t>：</w:t>
            </w:r>
            <w:r>
              <w:rPr>
                <w:color w:val="auto"/>
              </w:rPr>
              <w:t>加强已有自然保护区保护和天然林管护力度</w:t>
            </w:r>
            <w:r>
              <w:rPr>
                <w:rFonts w:hint="eastAsia"/>
                <w:color w:val="auto"/>
              </w:rPr>
              <w:t>；</w:t>
            </w:r>
            <w:r>
              <w:rPr>
                <w:color w:val="auto"/>
              </w:rPr>
              <w:t>对已破坏的生态系统，要结合有关生态建设工程，做好生态恢复与重建工作，增强生态系统水源涵养和土壤保持功能</w:t>
            </w:r>
            <w:r>
              <w:rPr>
                <w:rFonts w:hint="eastAsia"/>
                <w:color w:val="auto"/>
              </w:rPr>
              <w:t>；</w:t>
            </w:r>
            <w:r>
              <w:rPr>
                <w:color w:val="auto"/>
              </w:rPr>
              <w:t>停止导致生态功能继续退化的开发活动和其他人为破坏活动</w:t>
            </w:r>
            <w:r>
              <w:rPr>
                <w:rFonts w:hint="eastAsia"/>
                <w:color w:val="auto"/>
              </w:rPr>
              <w:t>；</w:t>
            </w:r>
            <w:r>
              <w:rPr>
                <w:color w:val="auto"/>
              </w:rPr>
              <w:t>严格矿产资源、水电资源开发的监管</w:t>
            </w:r>
            <w:r>
              <w:rPr>
                <w:rFonts w:hint="eastAsia"/>
                <w:color w:val="auto"/>
              </w:rPr>
              <w:t>；</w:t>
            </w:r>
            <w:r>
              <w:rPr>
                <w:color w:val="auto"/>
              </w:rPr>
              <w:t>控制人口增长，改变粗放生产经营方式，发展生态旅游和特色产业。</w:t>
            </w:r>
          </w:p>
          <w:p w14:paraId="77CE5347">
            <w:pPr>
              <w:ind w:firstLine="480"/>
              <w:rPr>
                <w:color w:val="auto"/>
              </w:rPr>
            </w:pPr>
            <w:r>
              <w:rPr>
                <w:rFonts w:hint="eastAsia"/>
                <w:color w:val="auto"/>
              </w:rPr>
              <w:t>（2）</w:t>
            </w:r>
            <w:r>
              <w:rPr>
                <w:color w:val="auto"/>
              </w:rPr>
              <w:t>四川省生态功能区划</w:t>
            </w:r>
          </w:p>
          <w:p w14:paraId="415DBE8F">
            <w:pPr>
              <w:ind w:firstLine="480"/>
              <w:rPr>
                <w:color w:val="auto"/>
              </w:rPr>
            </w:pPr>
            <w:r>
              <w:rPr>
                <w:color w:val="auto"/>
              </w:rPr>
              <w:t>根据《四川省生态功能区划》，拟建项目所处生态区为盆北秦巴山地常绿阔叶林-针阔混交林生态亚区</w:t>
            </w:r>
            <w:r>
              <w:rPr>
                <w:rFonts w:hint="eastAsia"/>
                <w:color w:val="auto"/>
              </w:rPr>
              <w:t>（</w:t>
            </w:r>
            <w:r>
              <w:rPr>
                <w:color w:val="auto"/>
              </w:rPr>
              <w:t>I3</w:t>
            </w:r>
            <w:r>
              <w:rPr>
                <w:rFonts w:hint="eastAsia"/>
                <w:color w:val="auto"/>
              </w:rPr>
              <w:t>）。</w:t>
            </w:r>
          </w:p>
          <w:p w14:paraId="44643FDA">
            <w:pPr>
              <w:ind w:firstLine="480"/>
              <w:rPr>
                <w:color w:val="auto"/>
              </w:rPr>
            </w:pPr>
            <w:r>
              <w:rPr>
                <w:color w:val="auto"/>
              </w:rPr>
              <w:t>本亚区位于四川盆地北缘，与陕西省及重庆市交界，面积约为1.33万km</w:t>
            </w:r>
            <w:r>
              <w:rPr>
                <w:rFonts w:hint="eastAsia"/>
                <w:color w:val="auto"/>
                <w:vertAlign w:val="superscript"/>
              </w:rPr>
              <w:t>2</w:t>
            </w:r>
            <w:r>
              <w:rPr>
                <w:color w:val="auto"/>
              </w:rPr>
              <w:t>行政区域涉及绵阳市、广元市、巴中市、达州市及阿坝州部分地区。米仓山、大巴山自西而东贯穿全境，山地海拔一般在1400~2000m。本区气候属亚热带湿润季风气候类型，年均气温13~16.7℃</w:t>
            </w:r>
            <w:r>
              <w:rPr>
                <w:rFonts w:hint="eastAsia"/>
                <w:color w:val="auto"/>
              </w:rPr>
              <w:t>，</w:t>
            </w:r>
            <w:r>
              <w:rPr>
                <w:color w:val="auto"/>
              </w:rPr>
              <w:t>年平均降水量900~1200mm。&gt;10℃的活动积温5100℃~5300℃，无霜期235~250天。本区河流属嘉陵江流域渠江水系，是四川盆地水资源的重要补给区。本区地带性植被由低到高分别为常绿阔叶林、常绿-落叶阔叶混交林、亚高山常绿针叶林。本区生物多样性丰富。矿产资源有石油、天然气、煤、铁等。</w:t>
            </w:r>
          </w:p>
          <w:p w14:paraId="54F2681C">
            <w:pPr>
              <w:ind w:firstLine="480"/>
              <w:rPr>
                <w:color w:val="auto"/>
              </w:rPr>
            </w:pPr>
            <w:r>
              <w:rPr>
                <w:color w:val="auto"/>
              </w:rPr>
              <w:t>按生态服务功能的重要性和生态环境敏感性的一致性进一步划分</w:t>
            </w:r>
            <w:r>
              <w:rPr>
                <w:rFonts w:hint="eastAsia"/>
                <w:color w:val="auto"/>
              </w:rPr>
              <w:t>，</w:t>
            </w:r>
            <w:r>
              <w:rPr>
                <w:color w:val="auto"/>
              </w:rPr>
              <w:t>拟建项目处于I3-1米仓山水源涵养与生物多样性保护生态功能区，位于在四川东北部边缘</w:t>
            </w:r>
            <w:r>
              <w:rPr>
                <w:rFonts w:hint="eastAsia"/>
                <w:color w:val="auto"/>
              </w:rPr>
              <w:t>，</w:t>
            </w:r>
            <w:r>
              <w:rPr>
                <w:color w:val="auto"/>
              </w:rPr>
              <w:t>涉及广元、巴中市的5个县级政区，面积0.68万km</w:t>
            </w:r>
            <w:r>
              <w:rPr>
                <w:rFonts w:hint="eastAsia"/>
                <w:color w:val="auto"/>
                <w:vertAlign w:val="superscript"/>
              </w:rPr>
              <w:t>2</w:t>
            </w:r>
            <w:r>
              <w:rPr>
                <w:color w:val="auto"/>
              </w:rPr>
              <w:t>。该区以中-低山地貌为主。年均气温 13~16℃，&gt;10℃活动积温5100℃左右，年均降雨量900~1200mm，河流主要属嘉陵江流域渠江水系，森林植被主要为常绿阔叶林、亚高山常绿针叶林</w:t>
            </w:r>
            <w:r>
              <w:rPr>
                <w:rFonts w:hint="eastAsia"/>
                <w:color w:val="auto"/>
              </w:rPr>
              <w:t>，</w:t>
            </w:r>
            <w:r>
              <w:rPr>
                <w:color w:val="auto"/>
              </w:rPr>
              <w:t>生物多样性丰富，水力及矿产资源较丰富。</w:t>
            </w:r>
          </w:p>
          <w:p w14:paraId="7290D2CF">
            <w:pPr>
              <w:ind w:firstLine="480"/>
              <w:rPr>
                <w:color w:val="auto"/>
              </w:rPr>
            </w:pPr>
            <w:r>
              <w:rPr>
                <w:color w:val="auto"/>
              </w:rPr>
              <w:t>主要生态环境问题</w:t>
            </w:r>
            <w:r>
              <w:rPr>
                <w:rFonts w:hint="eastAsia"/>
                <w:color w:val="auto"/>
              </w:rPr>
              <w:t>：</w:t>
            </w:r>
            <w:r>
              <w:rPr>
                <w:color w:val="auto"/>
              </w:rPr>
              <w:t>多洪灾，滑坡崩塌强烈发育</w:t>
            </w:r>
            <w:r>
              <w:rPr>
                <w:rFonts w:hint="eastAsia"/>
                <w:color w:val="auto"/>
              </w:rPr>
              <w:t>；</w:t>
            </w:r>
            <w:r>
              <w:rPr>
                <w:color w:val="auto"/>
              </w:rPr>
              <w:t>该区域主要生态系统服务功能为</w:t>
            </w:r>
            <w:r>
              <w:rPr>
                <w:rFonts w:hint="eastAsia"/>
                <w:color w:val="auto"/>
              </w:rPr>
              <w:t>：</w:t>
            </w:r>
            <w:r>
              <w:rPr>
                <w:color w:val="auto"/>
              </w:rPr>
              <w:t>农林业发展功能，水源涵养功能，生物多样性维持功能，土壤保持功能。生态保护与发展方向</w:t>
            </w:r>
            <w:r>
              <w:rPr>
                <w:rFonts w:hint="eastAsia"/>
                <w:color w:val="auto"/>
              </w:rPr>
              <w:t>：</w:t>
            </w:r>
            <w:r>
              <w:rPr>
                <w:color w:val="auto"/>
              </w:rPr>
              <w:t>保护森林植被和生物多样性</w:t>
            </w:r>
            <w:r>
              <w:rPr>
                <w:rFonts w:hint="eastAsia"/>
                <w:color w:val="auto"/>
              </w:rPr>
              <w:t>，</w:t>
            </w:r>
            <w:r>
              <w:rPr>
                <w:color w:val="auto"/>
              </w:rPr>
              <w:t>巩固长江上游防护林建设天然林保护和退耕还林成果。调整农业产业结构，发挥山区优势，以林为主，发展林农牧多种经营</w:t>
            </w:r>
            <w:r>
              <w:rPr>
                <w:rFonts w:hint="eastAsia"/>
                <w:color w:val="auto"/>
              </w:rPr>
              <w:t>，</w:t>
            </w:r>
            <w:r>
              <w:rPr>
                <w:color w:val="auto"/>
              </w:rPr>
              <w:t>发展牛、羊等畜牧产业链。建设优质特色中药材和茶叶生产基地。科学合理开发自然资源，规范和严格管理矿产、水电、生物资源的开发</w:t>
            </w:r>
            <w:r>
              <w:rPr>
                <w:rFonts w:hint="eastAsia"/>
                <w:color w:val="auto"/>
              </w:rPr>
              <w:t>，</w:t>
            </w:r>
            <w:r>
              <w:rPr>
                <w:color w:val="auto"/>
              </w:rPr>
              <w:t>防止矿产水电开发和农林业开发对生态环境和生态系统的不利影响。</w:t>
            </w:r>
          </w:p>
          <w:p w14:paraId="38F44AD5">
            <w:pPr>
              <w:ind w:firstLine="480"/>
              <w:rPr>
                <w:color w:val="auto"/>
              </w:rPr>
            </w:pPr>
            <w:r>
              <w:rPr>
                <w:rFonts w:hint="eastAsia"/>
                <w:color w:val="auto"/>
              </w:rPr>
              <w:t>（</w:t>
            </w:r>
            <w:r>
              <w:rPr>
                <w:color w:val="auto"/>
              </w:rPr>
              <w:t>3</w:t>
            </w:r>
            <w:r>
              <w:rPr>
                <w:rFonts w:hint="eastAsia"/>
                <w:color w:val="auto"/>
              </w:rPr>
              <w:t>）</w:t>
            </w:r>
            <w:r>
              <w:rPr>
                <w:color w:val="auto"/>
              </w:rPr>
              <w:t>巴中市生态功能区划</w:t>
            </w:r>
          </w:p>
          <w:p w14:paraId="0EE79C22">
            <w:pPr>
              <w:ind w:firstLine="480"/>
              <w:rPr>
                <w:color w:val="auto"/>
              </w:rPr>
            </w:pPr>
            <w:r>
              <w:rPr>
                <w:color w:val="auto"/>
              </w:rPr>
              <w:t>根据《巴中生态功能区划》，巴中市生态功能区划中，一级区</w:t>
            </w:r>
            <w:r>
              <w:rPr>
                <w:rFonts w:hint="eastAsia"/>
                <w:color w:val="auto"/>
              </w:rPr>
              <w:t>（</w:t>
            </w:r>
            <w:r>
              <w:rPr>
                <w:color w:val="auto"/>
              </w:rPr>
              <w:t>生态区</w:t>
            </w:r>
            <w:r>
              <w:rPr>
                <w:rFonts w:hint="eastAsia"/>
                <w:color w:val="auto"/>
              </w:rPr>
              <w:t>）</w:t>
            </w:r>
            <w:r>
              <w:rPr>
                <w:color w:val="auto"/>
              </w:rPr>
              <w:t>2个，二级区</w:t>
            </w:r>
            <w:r>
              <w:rPr>
                <w:rFonts w:hint="eastAsia"/>
                <w:color w:val="auto"/>
              </w:rPr>
              <w:t>（</w:t>
            </w:r>
            <w:r>
              <w:rPr>
                <w:color w:val="auto"/>
              </w:rPr>
              <w:t>生态亚区</w:t>
            </w:r>
            <w:r>
              <w:rPr>
                <w:rFonts w:hint="eastAsia"/>
                <w:color w:val="auto"/>
              </w:rPr>
              <w:t>）</w:t>
            </w:r>
            <w:r>
              <w:rPr>
                <w:color w:val="auto"/>
              </w:rPr>
              <w:t>3个，三级区</w:t>
            </w:r>
            <w:r>
              <w:rPr>
                <w:rFonts w:hint="eastAsia"/>
                <w:color w:val="auto"/>
              </w:rPr>
              <w:t>（</w:t>
            </w:r>
            <w:r>
              <w:rPr>
                <w:color w:val="auto"/>
              </w:rPr>
              <w:t>生态功能区</w:t>
            </w:r>
            <w:r>
              <w:rPr>
                <w:rFonts w:hint="eastAsia"/>
                <w:color w:val="auto"/>
              </w:rPr>
              <w:t>）</w:t>
            </w:r>
            <w:r>
              <w:rPr>
                <w:color w:val="auto"/>
              </w:rPr>
              <w:t>13个。</w:t>
            </w:r>
          </w:p>
          <w:p w14:paraId="665D7427">
            <w:pPr>
              <w:ind w:firstLine="480"/>
              <w:rPr>
                <w:color w:val="auto"/>
              </w:rPr>
            </w:pPr>
            <w:r>
              <w:rPr>
                <w:color w:val="auto"/>
              </w:rPr>
              <w:t>本项目涉及I巴南农林复合生态区川1南江-通江南部深丘农林业复合生态亚区Ⅲ13涪江-诺江低山生物多样性生态功能区</w:t>
            </w:r>
          </w:p>
          <w:p w14:paraId="2A3DF807">
            <w:pPr>
              <w:ind w:firstLine="480"/>
              <w:rPr>
                <w:color w:val="auto"/>
              </w:rPr>
            </w:pPr>
            <w:r>
              <w:rPr>
                <w:color w:val="auto"/>
              </w:rPr>
              <w:t>项目涉及生态功能区主要生态问题是水土流失轻度敏感，石化轻度敏感</w:t>
            </w:r>
            <w:r>
              <w:rPr>
                <w:rFonts w:hint="eastAsia"/>
                <w:color w:val="auto"/>
              </w:rPr>
              <w:t>；</w:t>
            </w:r>
            <w:r>
              <w:rPr>
                <w:color w:val="auto"/>
              </w:rPr>
              <w:t>水环境污染高度敏感。坡耕地比重大，降雨量大且集中，水土流失严重。山势险要沟壑纵横，因此多洪灾</w:t>
            </w:r>
            <w:r>
              <w:rPr>
                <w:rFonts w:hint="eastAsia"/>
                <w:color w:val="auto"/>
              </w:rPr>
              <w:t>，</w:t>
            </w:r>
            <w:r>
              <w:rPr>
                <w:color w:val="auto"/>
              </w:rPr>
              <w:t>滑坡崩塌强烈发育</w:t>
            </w:r>
            <w:r>
              <w:rPr>
                <w:rFonts w:hint="eastAsia"/>
                <w:color w:val="auto"/>
              </w:rPr>
              <w:t>，</w:t>
            </w:r>
            <w:r>
              <w:rPr>
                <w:color w:val="auto"/>
              </w:rPr>
              <w:t>极易诱发泥石流、山体滑坡等自然灾害</w:t>
            </w:r>
            <w:r>
              <w:rPr>
                <w:rFonts w:hint="eastAsia"/>
                <w:color w:val="auto"/>
              </w:rPr>
              <w:t>；</w:t>
            </w:r>
            <w:r>
              <w:rPr>
                <w:color w:val="auto"/>
              </w:rPr>
              <w:t>主要生态服务功是保持生物多样性，其次是水源涵养，土壤保持，营养物质保持</w:t>
            </w:r>
          </w:p>
          <w:p w14:paraId="2660E1B0">
            <w:pPr>
              <w:ind w:firstLine="480"/>
              <w:rPr>
                <w:color w:val="auto"/>
              </w:rPr>
            </w:pPr>
            <w:r>
              <w:rPr>
                <w:color w:val="auto"/>
              </w:rPr>
              <w:t>①区域范围</w:t>
            </w:r>
          </w:p>
          <w:p w14:paraId="6DBED8CE">
            <w:pPr>
              <w:ind w:firstLine="480"/>
              <w:rPr>
                <w:color w:val="auto"/>
              </w:rPr>
            </w:pPr>
            <w:r>
              <w:rPr>
                <w:color w:val="auto"/>
              </w:rPr>
              <w:t>涪江-诺江低山生物多样性生态功能区</w:t>
            </w:r>
            <w:r>
              <w:rPr>
                <w:rFonts w:hint="eastAsia"/>
                <w:color w:val="auto"/>
              </w:rPr>
              <w:t>（</w:t>
            </w:r>
            <w:r>
              <w:rPr>
                <w:color w:val="auto"/>
              </w:rPr>
              <w:t>Ⅱ-1-3</w:t>
            </w:r>
            <w:r>
              <w:rPr>
                <w:rFonts w:hint="eastAsia"/>
                <w:color w:val="auto"/>
              </w:rPr>
              <w:t>）</w:t>
            </w:r>
            <w:r>
              <w:rPr>
                <w:color w:val="auto"/>
              </w:rPr>
              <w:t>面积共计260.02km</w:t>
            </w:r>
            <w:r>
              <w:rPr>
                <w:color w:val="auto"/>
                <w:vertAlign w:val="superscript"/>
              </w:rPr>
              <w:t>2</w:t>
            </w:r>
            <w:r>
              <w:rPr>
                <w:color w:val="auto"/>
              </w:rPr>
              <w:t>，含大兴诺江镇、草池乡、涪阳镇4个乡镇级行政单位，分布在通江境内。</w:t>
            </w:r>
          </w:p>
          <w:p w14:paraId="4D9035B2">
            <w:pPr>
              <w:ind w:firstLine="480"/>
              <w:rPr>
                <w:color w:val="auto"/>
              </w:rPr>
            </w:pPr>
            <w:r>
              <w:rPr>
                <w:color w:val="auto"/>
              </w:rPr>
              <w:t>②生态环境基本特征</w:t>
            </w:r>
          </w:p>
          <w:p w14:paraId="3068C601">
            <w:pPr>
              <w:ind w:firstLine="480"/>
              <w:rPr>
                <w:color w:val="auto"/>
              </w:rPr>
            </w:pPr>
            <w:r>
              <w:rPr>
                <w:color w:val="auto"/>
              </w:rPr>
              <w:t>低山丘陵地貌，海拔460~1400米</w:t>
            </w:r>
            <w:r>
              <w:rPr>
                <w:rFonts w:hint="eastAsia"/>
                <w:color w:val="auto"/>
              </w:rPr>
              <w:t>；</w:t>
            </w:r>
            <w:r>
              <w:rPr>
                <w:color w:val="auto"/>
              </w:rPr>
              <w:t>山地气候垂直变化明显，年平均气温13.5~15.7℃，≥10℃的活动积温4240℃~4910℃，年平均降水量为560~1420毫米跨嘉陵江干流和渠江两大水系。森林植被主要为马尾松林、柏木林、栎类林和栎类灌丛。生物多样性及矿产资源较丰富。</w:t>
            </w:r>
          </w:p>
          <w:p w14:paraId="3E80F41F">
            <w:pPr>
              <w:ind w:firstLine="480"/>
              <w:rPr>
                <w:color w:val="auto"/>
              </w:rPr>
            </w:pPr>
            <w:r>
              <w:rPr>
                <w:color w:val="auto"/>
              </w:rPr>
              <w:t>本区生态环境敏感性特征主要是</w:t>
            </w:r>
            <w:r>
              <w:rPr>
                <w:rFonts w:hint="eastAsia"/>
                <w:color w:val="auto"/>
              </w:rPr>
              <w:t>：</w:t>
            </w:r>
            <w:r>
              <w:rPr>
                <w:color w:val="auto"/>
              </w:rPr>
              <w:t>水土流失轻度敏感，石漠化轻度敏感</w:t>
            </w:r>
            <w:r>
              <w:rPr>
                <w:rFonts w:hint="eastAsia"/>
                <w:color w:val="auto"/>
              </w:rPr>
              <w:t>；</w:t>
            </w:r>
            <w:r>
              <w:rPr>
                <w:color w:val="auto"/>
              </w:rPr>
              <w:t>水环境污染高度敏感。</w:t>
            </w:r>
          </w:p>
          <w:p w14:paraId="74222858">
            <w:pPr>
              <w:ind w:firstLine="480"/>
              <w:rPr>
                <w:color w:val="auto"/>
              </w:rPr>
            </w:pPr>
            <w:r>
              <w:rPr>
                <w:color w:val="auto"/>
              </w:rPr>
              <w:t>本区坡耕地比重大</w:t>
            </w:r>
            <w:r>
              <w:rPr>
                <w:rFonts w:hint="eastAsia"/>
                <w:color w:val="auto"/>
              </w:rPr>
              <w:t>，</w:t>
            </w:r>
            <w:r>
              <w:rPr>
                <w:color w:val="auto"/>
              </w:rPr>
              <w:t>降雨量大且集中</w:t>
            </w:r>
            <w:r>
              <w:rPr>
                <w:rFonts w:hint="eastAsia"/>
                <w:color w:val="auto"/>
              </w:rPr>
              <w:t>，</w:t>
            </w:r>
            <w:r>
              <w:rPr>
                <w:color w:val="auto"/>
              </w:rPr>
              <w:t>水土流失严重。本区山势险要沟壑纵横因此多洪灾。本区属米仓山-大巴山区，滑坡崩塌强烈发育，极易诱发泥石流、山体滑坡等自然灾害</w:t>
            </w:r>
            <w:r>
              <w:rPr>
                <w:rFonts w:hint="eastAsia"/>
                <w:color w:val="auto"/>
              </w:rPr>
              <w:t>。</w:t>
            </w:r>
          </w:p>
          <w:p w14:paraId="5D72A510">
            <w:pPr>
              <w:ind w:firstLine="480"/>
              <w:rPr>
                <w:color w:val="auto"/>
              </w:rPr>
            </w:pPr>
            <w:r>
              <w:rPr>
                <w:color w:val="auto"/>
              </w:rPr>
              <w:t>③生态功能定位</w:t>
            </w:r>
          </w:p>
          <w:p w14:paraId="123342A3">
            <w:pPr>
              <w:ind w:firstLine="480"/>
              <w:rPr>
                <w:color w:val="auto"/>
              </w:rPr>
            </w:pPr>
            <w:r>
              <w:rPr>
                <w:color w:val="auto"/>
              </w:rPr>
              <w:t>本区是以生物多样性保持为主导的生态功能区，其次是水源涵养，土壤保持辅助服务功能营养物质保持。本区林草覆盖率较高，水系发育，支流密布，而且水质良好。本区大量的珍稀动植物种类，生物多样性极为丰富，是巴中市生物多样性保护的关键地区之一，具有极为重要的生物安全战略意义。本区主要是以森林植被为主的中低山林地自然生态资源为主的地区，景观资源多样，生物资源丰富，具有重要的生态服务功能。生物资源和景观资源的多样性、丰富度和独特性是本区独特的生态区位优势</w:t>
            </w:r>
            <w:r>
              <w:rPr>
                <w:rFonts w:hint="eastAsia"/>
                <w:color w:val="auto"/>
              </w:rPr>
              <w:t>，</w:t>
            </w:r>
            <w:r>
              <w:rPr>
                <w:color w:val="auto"/>
              </w:rPr>
              <w:t>是发展多样化生态产业的重要基础，对维持区域生态支持系统以及大巴山区的生态安全具有重要的生态战略地位。</w:t>
            </w:r>
          </w:p>
          <w:p w14:paraId="5390294D">
            <w:pPr>
              <w:ind w:firstLine="480"/>
              <w:rPr>
                <w:color w:val="auto"/>
              </w:rPr>
            </w:pPr>
            <w:r>
              <w:rPr>
                <w:color w:val="auto"/>
              </w:rPr>
              <w:t>④生态功能保护与建设的方向和任务建立植被结构优化的中低山森林生态系统</w:t>
            </w:r>
            <w:r>
              <w:rPr>
                <w:rFonts w:hint="eastAsia"/>
                <w:color w:val="auto"/>
              </w:rPr>
              <w:t>，</w:t>
            </w:r>
            <w:r>
              <w:rPr>
                <w:color w:val="auto"/>
              </w:rPr>
              <w:t>强化其生物多样性保护功能是本区生态功能保护与建设的主导方向。重点任务如下</w:t>
            </w:r>
            <w:r>
              <w:rPr>
                <w:rFonts w:hint="eastAsia"/>
                <w:color w:val="auto"/>
              </w:rPr>
              <w:t>：</w:t>
            </w:r>
          </w:p>
          <w:p w14:paraId="5C8D50C1">
            <w:pPr>
              <w:ind w:firstLine="480"/>
              <w:rPr>
                <w:color w:val="auto"/>
              </w:rPr>
            </w:pPr>
            <w:r>
              <w:rPr>
                <w:color w:val="auto"/>
              </w:rPr>
              <w:t>强化对山地森林生态系统的保护及生物多样性的保护</w:t>
            </w:r>
            <w:r>
              <w:rPr>
                <w:rFonts w:hint="eastAsia"/>
                <w:color w:val="auto"/>
              </w:rPr>
              <w:t>，</w:t>
            </w:r>
            <w:r>
              <w:rPr>
                <w:color w:val="auto"/>
              </w:rPr>
              <w:t>加大陡坡耕地的退耕还林还草和天然林保护力度，改造、优化森林植被结构，强化植被的水土保持和水源涵养功能</w:t>
            </w:r>
            <w:r>
              <w:rPr>
                <w:rFonts w:hint="eastAsia"/>
                <w:color w:val="auto"/>
              </w:rPr>
              <w:t>；</w:t>
            </w:r>
            <w:r>
              <w:rPr>
                <w:color w:val="auto"/>
              </w:rPr>
              <w:t>适度发展以自然生态资源为主的观光旅游。</w:t>
            </w:r>
          </w:p>
          <w:p w14:paraId="345FD787">
            <w:pPr>
              <w:ind w:firstLine="482"/>
              <w:rPr>
                <w:b/>
                <w:bCs/>
                <w:color w:val="auto"/>
              </w:rPr>
            </w:pPr>
            <w:r>
              <w:rPr>
                <w:b/>
                <w:bCs/>
                <w:color w:val="auto"/>
              </w:rPr>
              <w:t>二、区域流域现状</w:t>
            </w:r>
          </w:p>
          <w:p w14:paraId="5BDC2098">
            <w:pPr>
              <w:ind w:firstLine="480"/>
              <w:rPr>
                <w:color w:val="auto"/>
              </w:rPr>
            </w:pPr>
            <w:r>
              <w:rPr>
                <w:color w:val="auto"/>
              </w:rPr>
              <w:t>项目区域为渠江水系，主要河流有通江河、小通江河等</w:t>
            </w:r>
            <w:r>
              <w:rPr>
                <w:rFonts w:hint="eastAsia"/>
                <w:color w:val="auto"/>
              </w:rPr>
              <w:t>；</w:t>
            </w:r>
            <w:r>
              <w:rPr>
                <w:color w:val="auto"/>
              </w:rPr>
              <w:t>通江河、小通江河水自北向南流，纵贯通江县北部中部区域。小通江于通江县小江口汇入通江，由于区内降雨充沛，因而地表水比较丰富，但河流流量的季节性变化显著，通常1~3月份为枯水期，6~9月为洪水期。</w:t>
            </w:r>
          </w:p>
          <w:p w14:paraId="26DB5D28">
            <w:pPr>
              <w:ind w:firstLine="480"/>
              <w:rPr>
                <w:color w:val="auto"/>
              </w:rPr>
            </w:pPr>
            <w:r>
              <w:rPr>
                <w:rFonts w:hint="eastAsia"/>
                <w:color w:val="auto"/>
              </w:rPr>
              <w:t>（</w:t>
            </w:r>
            <w:r>
              <w:rPr>
                <w:color w:val="auto"/>
              </w:rPr>
              <w:t>1</w:t>
            </w:r>
            <w:r>
              <w:rPr>
                <w:rFonts w:hint="eastAsia"/>
                <w:color w:val="auto"/>
              </w:rPr>
              <w:t>）</w:t>
            </w:r>
            <w:r>
              <w:rPr>
                <w:color w:val="auto"/>
              </w:rPr>
              <w:t>通江河</w:t>
            </w:r>
          </w:p>
          <w:p w14:paraId="48919DA0">
            <w:pPr>
              <w:ind w:firstLine="480"/>
              <w:rPr>
                <w:color w:val="auto"/>
              </w:rPr>
            </w:pPr>
            <w:r>
              <w:rPr>
                <w:color w:val="auto"/>
              </w:rPr>
              <w:t>通江河发源于陕西省米仓山南麓，是嘉陵江支流渠江的上源。上游有东、西大小通江二支</w:t>
            </w:r>
            <w:r>
              <w:rPr>
                <w:rFonts w:hint="eastAsia"/>
                <w:color w:val="auto"/>
              </w:rPr>
              <w:t>：</w:t>
            </w:r>
            <w:r>
              <w:rPr>
                <w:color w:val="auto"/>
              </w:rPr>
              <w:t>东支大通江为通江主流</w:t>
            </w:r>
            <w:r>
              <w:rPr>
                <w:rFonts w:hint="eastAsia"/>
                <w:color w:val="auto"/>
              </w:rPr>
              <w:t>，</w:t>
            </w:r>
            <w:r>
              <w:rPr>
                <w:color w:val="auto"/>
              </w:rPr>
              <w:t>源于陕西省西乡县罗家沟</w:t>
            </w:r>
            <w:r>
              <w:rPr>
                <w:rFonts w:hint="eastAsia"/>
                <w:color w:val="auto"/>
              </w:rPr>
              <w:t>，</w:t>
            </w:r>
            <w:r>
              <w:rPr>
                <w:color w:val="auto"/>
              </w:rPr>
              <w:t>由北东向西南流在两河口入四川省通江县境，全长142km，流域面积4565km</w:t>
            </w:r>
            <w:r>
              <w:rPr>
                <w:rFonts w:hint="eastAsia"/>
                <w:color w:val="auto"/>
                <w:vertAlign w:val="superscript"/>
              </w:rPr>
              <w:t>2</w:t>
            </w:r>
            <w:r>
              <w:rPr>
                <w:rFonts w:hint="eastAsia"/>
                <w:color w:val="auto"/>
              </w:rPr>
              <w:t>；</w:t>
            </w:r>
            <w:r>
              <w:rPr>
                <w:color w:val="auto"/>
              </w:rPr>
              <w:t>西支小通江，源出陕西省南郑县广家乡大红岩，由北向南，在新潮乡十字河处入四川省通江县境，全长154km，流域面积1876km</w:t>
            </w:r>
            <w:r>
              <w:rPr>
                <w:rFonts w:hint="eastAsia"/>
                <w:color w:val="auto"/>
                <w:vertAlign w:val="superscript"/>
              </w:rPr>
              <w:t>2</w:t>
            </w:r>
            <w:r>
              <w:rPr>
                <w:color w:val="auto"/>
              </w:rPr>
              <w:t>。大、小通江在通江县城下游约5km处的小江口汇合后始称通江。通江干流向南至通江县望江沱从左汇合巴河。通江全长223km，平均坡度1.76%，流域面积8705km</w:t>
            </w:r>
            <w:r>
              <w:rPr>
                <w:rFonts w:hint="eastAsia"/>
                <w:color w:val="auto"/>
                <w:vertAlign w:val="superscript"/>
              </w:rPr>
              <w:t>2</w:t>
            </w:r>
            <w:r>
              <w:rPr>
                <w:color w:val="auto"/>
              </w:rPr>
              <w:t>。通江与巴河交汇后成为巴河，干流巴河至渠县三汇镇与左边支流州河交汇后称渠江，渠江在合川市境内自左边汇入嘉陵江。通江流域地处四川盆地东北边缘地区，东南面与州河流域相邻，西南同巴河流域相连，北靠大巴山、米仓山与汉江流域相傍。流域地理位置介于东经107°15'~108°00'、北纬31°37'~32°42'之间，流域形状略似扇形。流域地势由北向西南倾斜北高南低，地形北陡南缓，处于中山向低山丘陵过渡地带，属盆周中低山区。流域内山高坡陡，峡谷各地皆有。北边流域分水岭主峰巴山海拔高程2413m，通江河口高程约292m，高低相差达2100余米。由于地表水流的强烈浸蚀和切割，流域地貌多变且破碎。地貌形态大致可分为</w:t>
            </w:r>
            <w:r>
              <w:rPr>
                <w:rFonts w:hint="eastAsia"/>
                <w:color w:val="auto"/>
              </w:rPr>
              <w:t>：</w:t>
            </w:r>
            <w:r>
              <w:rPr>
                <w:color w:val="auto"/>
              </w:rPr>
              <w:t>北部为中切割岩溶地貌区，山顶海拔高程1200~2000m</w:t>
            </w:r>
            <w:r>
              <w:rPr>
                <w:rFonts w:hint="eastAsia"/>
                <w:color w:val="auto"/>
              </w:rPr>
              <w:t>；</w:t>
            </w:r>
            <w:r>
              <w:rPr>
                <w:color w:val="auto"/>
              </w:rPr>
              <w:t>中部为中山区，山顶海拔高程1000~1500m</w:t>
            </w:r>
            <w:r>
              <w:rPr>
                <w:rFonts w:hint="eastAsia"/>
                <w:color w:val="auto"/>
              </w:rPr>
              <w:t>；</w:t>
            </w:r>
            <w:r>
              <w:rPr>
                <w:color w:val="auto"/>
              </w:rPr>
              <w:t>南部为低山区，山顶海拔高程700~1000m，约占全流域面积的23%左右</w:t>
            </w:r>
            <w:r>
              <w:rPr>
                <w:rFonts w:hint="eastAsia"/>
                <w:color w:val="auto"/>
              </w:rPr>
              <w:t>；</w:t>
            </w:r>
            <w:r>
              <w:rPr>
                <w:color w:val="auto"/>
              </w:rPr>
              <w:t>河流冲洪积地貌零星分布于沿河两岸。</w:t>
            </w:r>
          </w:p>
          <w:p w14:paraId="1558D1A7">
            <w:pPr>
              <w:ind w:firstLine="480"/>
              <w:rPr>
                <w:color w:val="auto"/>
              </w:rPr>
            </w:pPr>
            <w:r>
              <w:rPr>
                <w:rFonts w:hint="eastAsia"/>
                <w:color w:val="auto"/>
              </w:rPr>
              <w:t>（</w:t>
            </w:r>
            <w:r>
              <w:rPr>
                <w:color w:val="auto"/>
              </w:rPr>
              <w:t>2</w:t>
            </w:r>
            <w:r>
              <w:rPr>
                <w:rFonts w:hint="eastAsia"/>
                <w:color w:val="auto"/>
              </w:rPr>
              <w:t>）</w:t>
            </w:r>
            <w:r>
              <w:rPr>
                <w:color w:val="auto"/>
              </w:rPr>
              <w:t>小通江河</w:t>
            </w:r>
          </w:p>
          <w:p w14:paraId="0B6FB4EF">
            <w:pPr>
              <w:ind w:firstLine="480"/>
              <w:rPr>
                <w:color w:val="auto"/>
              </w:rPr>
            </w:pPr>
            <w:r>
              <w:rPr>
                <w:color w:val="auto"/>
              </w:rPr>
              <w:t>小通江河为通江河右岸一级支流，渠江的二级支流。流域位于东经 106°59'~107°22'，北纬30°55'~32°45'之间。发源于米仓山东麓陕西省广家店境内的大红岩</w:t>
            </w:r>
            <w:r>
              <w:rPr>
                <w:rFonts w:hint="eastAsia"/>
                <w:color w:val="auto"/>
              </w:rPr>
              <w:t>（</w:t>
            </w:r>
            <w:r>
              <w:rPr>
                <w:color w:val="auto"/>
              </w:rPr>
              <w:t>海拔2500m</w:t>
            </w:r>
            <w:r>
              <w:rPr>
                <w:rFonts w:hint="eastAsia"/>
                <w:color w:val="auto"/>
              </w:rPr>
              <w:t>）</w:t>
            </w:r>
            <w:r>
              <w:rPr>
                <w:color w:val="auto"/>
              </w:rPr>
              <w:t>，由北向南流，经陕西省碑坝、通江县平溪、涪阳至马家咀转为由西向东流，经通江县城至小江口汇入通江河。小通江河流域面积1876km</w:t>
            </w:r>
            <w:r>
              <w:rPr>
                <w:rFonts w:hint="eastAsia"/>
                <w:color w:val="auto"/>
                <w:vertAlign w:val="superscript"/>
              </w:rPr>
              <w:t>2</w:t>
            </w:r>
            <w:r>
              <w:rPr>
                <w:color w:val="auto"/>
              </w:rPr>
              <w:t>，河道全长154km，河道平均比降3.82‰。</w:t>
            </w:r>
          </w:p>
          <w:p w14:paraId="21A0EC0E">
            <w:pPr>
              <w:ind w:firstLine="480"/>
              <w:rPr>
                <w:color w:val="auto"/>
              </w:rPr>
            </w:pPr>
            <w:r>
              <w:rPr>
                <w:rFonts w:hint="eastAsia"/>
                <w:color w:val="auto"/>
              </w:rPr>
              <w:t>（3）</w:t>
            </w:r>
            <w:r>
              <w:rPr>
                <w:color w:val="auto"/>
              </w:rPr>
              <w:t>流里河水库</w:t>
            </w:r>
          </w:p>
          <w:p w14:paraId="5EFCED84">
            <w:pPr>
              <w:ind w:firstLine="480"/>
              <w:rPr>
                <w:color w:val="auto"/>
              </w:rPr>
            </w:pPr>
            <w:r>
              <w:rPr>
                <w:color w:val="auto"/>
              </w:rPr>
              <w:t>流里河水库位于渠江水系巴河流域通江河一级支流流里河铁佛镇胜利村境内，地理坐标东经107°18′47.6″，北纬31°48′43.37″，是一座以灌溉为主兼顾铁佛镇场镇及周边村社安全饮水的小（1）型水利工程，设计灌溉面积0.727万亩，安全饮水人口3.8万人。</w:t>
            </w:r>
          </w:p>
          <w:p w14:paraId="73E1AA6E">
            <w:pPr>
              <w:ind w:firstLine="480"/>
              <w:rPr>
                <w:color w:val="auto"/>
              </w:rPr>
            </w:pPr>
            <w:r>
              <w:rPr>
                <w:color w:val="auto"/>
              </w:rPr>
              <w:t>流里河水库最近一次除险加固设计是在2024年11月，根据最新成果，水库坝址以上集雨面积4.20km</w:t>
            </w:r>
            <w:r>
              <w:rPr>
                <w:color w:val="auto"/>
                <w:vertAlign w:val="superscript"/>
              </w:rPr>
              <w:t>2</w:t>
            </w:r>
            <w:r>
              <w:rPr>
                <w:color w:val="auto"/>
              </w:rPr>
              <w:t>，主河道长4.49km，河道比降为31.14‰，水库校核标准为300年一遇，校核洪水位631.88m，对应总库容为203.38万m³；设计标准为30年一遇，设计洪水位631.30m，对应库容193.04万m³；水库正常蓄水位629.80m，对应库容164.50万m³；水库死水位为616.80m，对应死库容24.5万m³。山区河谷地带，水流自北向南，水库周边密林覆盖率较高，上游及其周边无工业、较大生活区，水质无较大污染。</w:t>
            </w:r>
          </w:p>
          <w:p w14:paraId="72AA58C0">
            <w:pPr>
              <w:ind w:firstLine="480"/>
              <w:rPr>
                <w:color w:val="auto"/>
              </w:rPr>
            </w:pPr>
            <w:r>
              <w:rPr>
                <w:rFonts w:hint="eastAsia"/>
                <w:color w:val="auto"/>
              </w:rPr>
              <w:t>巴中市人民政府于2019年5月16日以《关于同意调整划定通江县春在镇文笔河、永安镇骡马沟等57个乡镇集中式饮用水水源保护区的批复》（巴府函</w:t>
            </w:r>
            <w:r>
              <w:rPr>
                <w:rFonts w:hint="eastAsia" w:ascii="宋体" w:hAnsi="宋体"/>
                <w:color w:val="auto"/>
              </w:rPr>
              <w:t>〔</w:t>
            </w:r>
            <w:r>
              <w:rPr>
                <w:rFonts w:hint="eastAsia"/>
                <w:color w:val="auto"/>
              </w:rPr>
              <w:t>2019</w:t>
            </w:r>
            <w:r>
              <w:rPr>
                <w:rFonts w:hint="eastAsia" w:ascii="宋体" w:hAnsi="宋体"/>
                <w:color w:val="auto"/>
              </w:rPr>
              <w:t>〕</w:t>
            </w:r>
            <w:r>
              <w:rPr>
                <w:rFonts w:hint="eastAsia"/>
                <w:color w:val="auto"/>
              </w:rPr>
              <w:t>71号）同意将流里河水库划定为饮用水水源保护区，一级保护区水域范围为流里河水库整个水域，陆域范围为水库边界（防洪坝除外）纵深200m范围内区域；二级保护区范围为除一级保护区外的整个水源地分水岭范围。</w:t>
            </w:r>
          </w:p>
          <w:p w14:paraId="191861ED">
            <w:pPr>
              <w:ind w:firstLine="0" w:firstLineChars="0"/>
              <w:jc w:val="center"/>
              <w:rPr>
                <w:color w:val="auto"/>
              </w:rPr>
            </w:pPr>
            <w:r>
              <w:rPr>
                <w:color w:val="auto"/>
              </w:rPr>
              <w:drawing>
                <wp:inline distT="0" distB="0" distL="0" distR="0">
                  <wp:extent cx="5274310" cy="3512820"/>
                  <wp:effectExtent l="0" t="0" r="2540" b="0"/>
                  <wp:docPr id="14236240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24058" name="图片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3512820"/>
                          </a:xfrm>
                          <a:prstGeom prst="rect">
                            <a:avLst/>
                          </a:prstGeom>
                          <a:noFill/>
                          <a:ln>
                            <a:noFill/>
                          </a:ln>
                        </pic:spPr>
                      </pic:pic>
                    </a:graphicData>
                  </a:graphic>
                </wp:inline>
              </w:drawing>
            </w:r>
          </w:p>
          <w:p w14:paraId="09B5138A">
            <w:pPr>
              <w:ind w:firstLine="0" w:firstLineChars="0"/>
              <w:jc w:val="center"/>
              <w:rPr>
                <w:b/>
                <w:bCs/>
                <w:color w:val="auto"/>
              </w:rPr>
            </w:pPr>
            <w:r>
              <w:rPr>
                <w:b/>
                <w:bCs/>
                <w:color w:val="auto"/>
              </w:rPr>
              <w:t xml:space="preserve">图 </w:t>
            </w:r>
            <w:r>
              <w:rPr>
                <w:rFonts w:hint="eastAsia"/>
                <w:b/>
                <w:bCs/>
                <w:color w:val="auto"/>
              </w:rPr>
              <w:t>3</w:t>
            </w:r>
            <w:r>
              <w:rPr>
                <w:b/>
                <w:bCs/>
                <w:color w:val="auto"/>
              </w:rPr>
              <w:t>-</w:t>
            </w:r>
            <w:r>
              <w:rPr>
                <w:rFonts w:hint="eastAsia"/>
                <w:b/>
                <w:bCs/>
                <w:color w:val="auto"/>
              </w:rPr>
              <w:t>1</w:t>
            </w:r>
            <w:r>
              <w:rPr>
                <w:b/>
                <w:bCs/>
                <w:color w:val="auto"/>
              </w:rPr>
              <w:t xml:space="preserve"> 流里河水库饮用水水源保护区范围示意图</w:t>
            </w:r>
          </w:p>
          <w:p w14:paraId="1D30A369">
            <w:pPr>
              <w:ind w:firstLine="480"/>
              <w:rPr>
                <w:color w:val="auto"/>
              </w:rPr>
            </w:pPr>
            <w:r>
              <w:rPr>
                <w:rFonts w:hint="eastAsia"/>
                <w:color w:val="auto"/>
              </w:rPr>
              <w:t>（4）</w:t>
            </w:r>
            <w:r>
              <w:rPr>
                <w:color w:val="auto"/>
              </w:rPr>
              <w:t>澌溪沟水库</w:t>
            </w:r>
          </w:p>
          <w:p w14:paraId="270A5567">
            <w:pPr>
              <w:ind w:firstLine="480"/>
              <w:rPr>
                <w:color w:val="auto"/>
                <w:lang w:val="zh-CN"/>
              </w:rPr>
            </w:pPr>
            <w:r>
              <w:rPr>
                <w:color w:val="auto"/>
                <w:lang w:val="zh-CN"/>
              </w:rPr>
              <w:t>澌溪沟水库位于渠江水系，大通江二级支流黑溪沟上，铁佛镇双泉村境内，是以供水、灌溉为主的小（1）型水库，坝址地理坐标东经107°15′40.72″，北纬31°42′36.10″，距铁佛镇约17.6km，距通江县城区50.0km，村道公路通至大坝，对外交通较为方便。</w:t>
            </w:r>
          </w:p>
          <w:p w14:paraId="20962F9D">
            <w:pPr>
              <w:ind w:firstLine="480"/>
              <w:rPr>
                <w:color w:val="auto"/>
              </w:rPr>
            </w:pPr>
            <w:r>
              <w:rPr>
                <w:color w:val="auto"/>
                <w:lang w:val="zh-CN"/>
              </w:rPr>
              <w:t>水库大坝最近在2024年9月完成了除险加固初步设计，根据最新设计资料，</w:t>
            </w:r>
            <w:r>
              <w:rPr>
                <w:color w:val="auto"/>
              </w:rPr>
              <w:t>坝址以上集水面积1.65km</w:t>
            </w:r>
            <w:r>
              <w:rPr>
                <w:color w:val="auto"/>
                <w:vertAlign w:val="superscript"/>
              </w:rPr>
              <w:t>2</w:t>
            </w:r>
            <w:r>
              <w:rPr>
                <w:color w:val="auto"/>
              </w:rPr>
              <w:t>，河长2.42km，沿河长平均坡降43.74‰。校核标准为300年一遇，校核洪水位672.46m，相应库容100.67</w:t>
            </w:r>
            <w:bookmarkStart w:id="15" w:name="OLE_LINK6"/>
            <w:bookmarkStart w:id="16" w:name="OLE_LINK5"/>
            <w:r>
              <w:rPr>
                <w:color w:val="auto"/>
              </w:rPr>
              <w:t>万m³</w:t>
            </w:r>
            <w:bookmarkEnd w:id="15"/>
            <w:bookmarkEnd w:id="16"/>
            <w:r>
              <w:rPr>
                <w:color w:val="auto"/>
              </w:rPr>
              <w:t>；设计标准30年一遇，设计洪水位672.15m，相应库容96.14万m³；正常</w:t>
            </w:r>
            <w:r>
              <w:rPr>
                <w:rFonts w:hint="eastAsia"/>
                <w:color w:val="auto"/>
              </w:rPr>
              <w:t>蓄</w:t>
            </w:r>
            <w:r>
              <w:rPr>
                <w:color w:val="auto"/>
              </w:rPr>
              <w:t>水位671.36m，相应库容96.14万m³；死水位660.07m，相应库容9.0万m³。山区河谷地带，水流自北向南，水库周边密林覆盖率较高，上游及其周边无工业、较大生活区，水质无较大污染。</w:t>
            </w:r>
          </w:p>
          <w:p w14:paraId="5EF787DB">
            <w:pPr>
              <w:ind w:firstLine="480"/>
              <w:rPr>
                <w:color w:val="auto"/>
              </w:rPr>
            </w:pPr>
            <w:r>
              <w:rPr>
                <w:rFonts w:hint="eastAsia"/>
                <w:color w:val="auto"/>
              </w:rPr>
              <w:t>巴中市人民政府于2019年5月16日以《关于同意调整划定通江县春在镇文笔河、永安镇骡马沟等57个乡镇集中式饮用水水源保护区的批复》（巴府函</w:t>
            </w:r>
            <w:r>
              <w:rPr>
                <w:rFonts w:hint="eastAsia" w:ascii="宋体" w:hAnsi="宋体"/>
                <w:color w:val="auto"/>
              </w:rPr>
              <w:t>〔</w:t>
            </w:r>
            <w:r>
              <w:rPr>
                <w:rFonts w:hint="eastAsia"/>
                <w:color w:val="auto"/>
              </w:rPr>
              <w:t>2019</w:t>
            </w:r>
            <w:r>
              <w:rPr>
                <w:rFonts w:hint="eastAsia" w:ascii="宋体" w:hAnsi="宋体"/>
                <w:color w:val="auto"/>
              </w:rPr>
              <w:t>〕</w:t>
            </w:r>
            <w:r>
              <w:rPr>
                <w:rFonts w:hint="eastAsia"/>
                <w:color w:val="auto"/>
              </w:rPr>
              <w:t>71号）同意将</w:t>
            </w:r>
            <w:r>
              <w:rPr>
                <w:color w:val="auto"/>
                <w:lang w:val="zh-CN"/>
              </w:rPr>
              <w:t>澌溪沟水库</w:t>
            </w:r>
            <w:r>
              <w:rPr>
                <w:rFonts w:hint="eastAsia"/>
                <w:color w:val="auto"/>
              </w:rPr>
              <w:t>划定为饮用水水源保护区，一级保护区水域范围为</w:t>
            </w:r>
            <w:r>
              <w:rPr>
                <w:color w:val="auto"/>
                <w:lang w:val="zh-CN"/>
              </w:rPr>
              <w:t>澌溪沟</w:t>
            </w:r>
            <w:r>
              <w:rPr>
                <w:rFonts w:hint="eastAsia"/>
                <w:color w:val="auto"/>
              </w:rPr>
              <w:t>水库整个水域，陆域范围为水库边界（防洪坝除外）纵深200m范围内区域；二级保护区范围为除一级保护区外的整个水源地分水岭范围。</w:t>
            </w:r>
            <w:r>
              <w:rPr>
                <w:color w:val="auto"/>
              </w:rPr>
              <w:t>如下图所示。</w:t>
            </w:r>
          </w:p>
          <w:p w14:paraId="618BC0F8">
            <w:pPr>
              <w:ind w:firstLine="0" w:firstLineChars="0"/>
              <w:jc w:val="center"/>
              <w:rPr>
                <w:color w:val="auto"/>
              </w:rPr>
            </w:pPr>
            <w:r>
              <w:rPr>
                <w:color w:val="auto"/>
              </w:rPr>
              <w:drawing>
                <wp:inline distT="0" distB="0" distL="0" distR="0">
                  <wp:extent cx="5274310" cy="3512820"/>
                  <wp:effectExtent l="0" t="0" r="2540" b="0"/>
                  <wp:docPr id="2085113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1333" name="图片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74310" cy="3512820"/>
                          </a:xfrm>
                          <a:prstGeom prst="rect">
                            <a:avLst/>
                          </a:prstGeom>
                          <a:noFill/>
                          <a:ln>
                            <a:noFill/>
                          </a:ln>
                        </pic:spPr>
                      </pic:pic>
                    </a:graphicData>
                  </a:graphic>
                </wp:inline>
              </w:drawing>
            </w:r>
          </w:p>
          <w:p w14:paraId="2CF5F4B9">
            <w:pPr>
              <w:ind w:firstLine="0" w:firstLineChars="0"/>
              <w:jc w:val="center"/>
              <w:rPr>
                <w:b/>
                <w:bCs/>
                <w:color w:val="auto"/>
              </w:rPr>
            </w:pPr>
            <w:r>
              <w:rPr>
                <w:b/>
                <w:bCs/>
                <w:color w:val="auto"/>
              </w:rPr>
              <w:t xml:space="preserve">图 </w:t>
            </w:r>
            <w:r>
              <w:rPr>
                <w:rFonts w:hint="eastAsia"/>
                <w:b/>
                <w:bCs/>
                <w:color w:val="auto"/>
              </w:rPr>
              <w:t>3</w:t>
            </w:r>
            <w:r>
              <w:rPr>
                <w:b/>
                <w:bCs/>
                <w:color w:val="auto"/>
              </w:rPr>
              <w:t>-</w:t>
            </w:r>
            <w:r>
              <w:rPr>
                <w:rFonts w:hint="eastAsia"/>
                <w:b/>
                <w:bCs/>
                <w:color w:val="auto"/>
              </w:rPr>
              <w:t>2</w:t>
            </w:r>
            <w:r>
              <w:rPr>
                <w:b/>
                <w:bCs/>
                <w:color w:val="auto"/>
              </w:rPr>
              <w:t xml:space="preserve"> 澌溪沟水库饮用水水源保护区范围示意图</w:t>
            </w:r>
          </w:p>
          <w:p w14:paraId="6E07B769">
            <w:pPr>
              <w:ind w:firstLine="480"/>
              <w:rPr>
                <w:color w:val="auto"/>
              </w:rPr>
            </w:pPr>
            <w:r>
              <w:rPr>
                <w:rFonts w:hint="eastAsia"/>
                <w:color w:val="auto"/>
              </w:rPr>
              <w:t>（5）</w:t>
            </w:r>
            <w:r>
              <w:rPr>
                <w:color w:val="auto"/>
              </w:rPr>
              <w:t>王家河水库</w:t>
            </w:r>
          </w:p>
          <w:p w14:paraId="023F3362">
            <w:pPr>
              <w:ind w:firstLine="480"/>
              <w:rPr>
                <w:color w:val="auto"/>
                <w:kern w:val="0"/>
              </w:rPr>
            </w:pPr>
            <w:r>
              <w:rPr>
                <w:color w:val="auto"/>
                <w:kern w:val="0"/>
              </w:rPr>
              <w:t>王家河水库系渠江水系巴河流域王家河上的一座以防洪灌溉为主的小（2）型水利工程，王家河水库同时向王家河水电站供水。水库位于通江县麻石镇胜利村境内，地理坐标东经107°20′45″，北纬31°49′17″，距通江县城33km，原三合乡3km，村道公路通至大坝附近，交通便捷。</w:t>
            </w:r>
          </w:p>
          <w:p w14:paraId="4B82ED81">
            <w:pPr>
              <w:ind w:firstLine="480"/>
              <w:rPr>
                <w:color w:val="auto"/>
              </w:rPr>
            </w:pPr>
            <w:r>
              <w:rPr>
                <w:color w:val="auto"/>
                <w:kern w:val="0"/>
              </w:rPr>
              <w:t>该水库于1968年12月动工，1972年5月工程竣工，2000年由县水利电力局组织验收。2015年通江县水务局对大坝进行了安全鉴定和除险加固。加固后水库坝高17.6m，坝址以上集雨面积10.4km</w:t>
            </w:r>
            <w:r>
              <w:rPr>
                <w:color w:val="auto"/>
                <w:kern w:val="0"/>
                <w:vertAlign w:val="superscript"/>
              </w:rPr>
              <w:t>2</w:t>
            </w:r>
            <w:r>
              <w:rPr>
                <w:color w:val="auto"/>
                <w:kern w:val="0"/>
              </w:rPr>
              <w:t>，总库容50.22万m</w:t>
            </w:r>
            <w:r>
              <w:rPr>
                <w:color w:val="auto"/>
                <w:kern w:val="0"/>
                <w:vertAlign w:val="superscript"/>
              </w:rPr>
              <w:t>3</w:t>
            </w:r>
            <w:r>
              <w:rPr>
                <w:color w:val="auto"/>
                <w:kern w:val="0"/>
              </w:rPr>
              <w:t>，正常库容31.02万m</w:t>
            </w:r>
            <w:r>
              <w:rPr>
                <w:color w:val="auto"/>
                <w:kern w:val="0"/>
                <w:vertAlign w:val="superscript"/>
              </w:rPr>
              <w:t>3</w:t>
            </w:r>
            <w:r>
              <w:rPr>
                <w:color w:val="auto"/>
                <w:kern w:val="0"/>
              </w:rPr>
              <w:t>，死库容12.86万m</w:t>
            </w:r>
            <w:r>
              <w:rPr>
                <w:color w:val="auto"/>
                <w:kern w:val="0"/>
                <w:vertAlign w:val="superscript"/>
              </w:rPr>
              <w:t>3</w:t>
            </w:r>
            <w:r>
              <w:rPr>
                <w:color w:val="auto"/>
                <w:kern w:val="0"/>
              </w:rPr>
              <w:t>。设计灌溉面积1000亩。</w:t>
            </w:r>
            <w:r>
              <w:rPr>
                <w:color w:val="auto"/>
              </w:rPr>
              <w:t>王家河水库枢纽工程主要由大坝、溢洪道、放水设施三部分组成。</w:t>
            </w:r>
          </w:p>
          <w:p w14:paraId="72453BD7">
            <w:pPr>
              <w:numPr>
                <w:ilvl w:val="0"/>
                <w:numId w:val="2"/>
              </w:numPr>
              <w:ind w:firstLine="482"/>
              <w:rPr>
                <w:rFonts w:hint="eastAsia"/>
                <w:b/>
                <w:bCs/>
                <w:color w:val="auto"/>
                <w:lang w:val="en-US" w:eastAsia="zh-CN"/>
              </w:rPr>
            </w:pPr>
            <w:r>
              <w:rPr>
                <w:rFonts w:hint="eastAsia"/>
                <w:b/>
                <w:bCs/>
                <w:color w:val="auto"/>
                <w:lang w:val="en-US" w:eastAsia="zh-CN"/>
              </w:rPr>
              <w:t>水资源利用现状</w:t>
            </w:r>
          </w:p>
          <w:p w14:paraId="18714B3C">
            <w:pPr>
              <w:ind w:firstLine="480"/>
              <w:rPr>
                <w:color w:val="auto"/>
              </w:rPr>
            </w:pPr>
            <w:r>
              <w:rPr>
                <w:rFonts w:hint="eastAsia"/>
                <w:color w:val="auto"/>
              </w:rPr>
              <w:t>根据水资源论证成果，现状水平年通江县供用水总量为9602.18万m</w:t>
            </w:r>
            <w:r>
              <w:rPr>
                <w:rFonts w:hint="eastAsia"/>
                <w:color w:val="auto"/>
                <w:vertAlign w:val="superscript"/>
              </w:rPr>
              <w:t>3</w:t>
            </w:r>
            <w:r>
              <w:rPr>
                <w:rFonts w:hint="eastAsia"/>
                <w:color w:val="auto"/>
              </w:rPr>
              <w:t>，其中地表水源供水量为9200.11万m</w:t>
            </w:r>
            <w:r>
              <w:rPr>
                <w:rFonts w:hint="eastAsia"/>
                <w:color w:val="auto"/>
                <w:vertAlign w:val="superscript"/>
              </w:rPr>
              <w:t>3</w:t>
            </w:r>
            <w:r>
              <w:rPr>
                <w:rFonts w:hint="eastAsia"/>
                <w:color w:val="auto"/>
              </w:rPr>
              <w:t>，占总供水量的95.81%；农业用水量为6321.12万m</w:t>
            </w:r>
            <w:r>
              <w:rPr>
                <w:rFonts w:hint="eastAsia"/>
                <w:color w:val="auto"/>
                <w:vertAlign w:val="superscript"/>
              </w:rPr>
              <w:t>3</w:t>
            </w:r>
            <w:r>
              <w:rPr>
                <w:rFonts w:hint="eastAsia"/>
                <w:color w:val="auto"/>
              </w:rPr>
              <w:t>，占总用水量的65.83%。全县水资源开发利用程度约为3.38%，总体开发利用程度较低，水资源尚有一定开发利用潜力。项目区现状水资源利用主要依托流里河水库、澌溪沟水库和王家河水库，并辅以河道取水及山坪塘、蓄水池等小型水利设施。三座水库现状利用情况如下：</w:t>
            </w:r>
          </w:p>
          <w:p w14:paraId="4D5FF5E4">
            <w:pPr>
              <w:ind w:firstLine="480"/>
              <w:rPr>
                <w:color w:val="auto"/>
              </w:rPr>
            </w:pPr>
            <w:r>
              <w:rPr>
                <w:rFonts w:hint="eastAsia"/>
                <w:color w:val="auto"/>
              </w:rPr>
              <w:t>（1）流里河水库是一座以灌溉为主、兼顾铁佛镇场镇及周边村社生活供水的小（1）型水库，原设计灌溉面积7270亩、供水人口3.8万人。现状主要承担铁佛水厂原水供应和灌区农业灌溉任务。铁佛水厂在流里河水库年取水182.50万m</w:t>
            </w:r>
            <w:r>
              <w:rPr>
                <w:rFonts w:hint="eastAsia"/>
                <w:color w:val="auto"/>
                <w:vertAlign w:val="superscript"/>
              </w:rPr>
              <w:t>3</w:t>
            </w:r>
            <w:r>
              <w:rPr>
                <w:rFonts w:hint="eastAsia"/>
                <w:color w:val="auto"/>
              </w:rPr>
              <w:t>，流里河水库灌区取水工程年取水60万m</w:t>
            </w:r>
            <w:r>
              <w:rPr>
                <w:rFonts w:hint="eastAsia"/>
                <w:color w:val="auto"/>
                <w:vertAlign w:val="superscript"/>
              </w:rPr>
              <w:t>3</w:t>
            </w:r>
            <w:r>
              <w:rPr>
                <w:rFonts w:hint="eastAsia"/>
                <w:color w:val="auto"/>
              </w:rPr>
              <w:t>。受输水渠道损毁影响，现状实际灌溉面积约1650亩，仅为原设计灌溉面积的22.7%，水库灌溉效益尚未得到充分发挥。原设计供水人口目前大部分已纳入铁佛水厂供水范围，水库生活供水功能已由直接供水逐步转变为向铁佛水厂提供原水。</w:t>
            </w:r>
          </w:p>
          <w:p w14:paraId="75691566">
            <w:pPr>
              <w:ind w:firstLine="480"/>
              <w:rPr>
                <w:color w:val="auto"/>
              </w:rPr>
            </w:pPr>
            <w:r>
              <w:rPr>
                <w:rFonts w:hint="eastAsia"/>
                <w:color w:val="auto"/>
              </w:rPr>
              <w:t>（2）澌溪沟水库是一座以灌溉为主、兼有农村生活供水功能的小（1）型水库，原设计灌溉面积6300亩，现有灌区范围约4000亩。现状澌溪沟水库灌区取水工程年取水68万m</w:t>
            </w:r>
            <w:r>
              <w:rPr>
                <w:rFonts w:hint="eastAsia"/>
                <w:color w:val="auto"/>
                <w:vertAlign w:val="superscript"/>
              </w:rPr>
              <w:t>3</w:t>
            </w:r>
            <w:r>
              <w:rPr>
                <w:rFonts w:hint="eastAsia"/>
                <w:color w:val="auto"/>
              </w:rPr>
              <w:t>，通江县乡镇供水有限公司（双泉）供水工程年取水5万m³，主要解决双泉村约2000人的生活用水。受供水干渠大量损毁、堵塞影响，现状实际灌溉面积约1870亩，仅为原设计灌溉面积的29.7%，灌溉供水能力明显低于水库原设计水平。</w:t>
            </w:r>
          </w:p>
          <w:p w14:paraId="5B66E7A2">
            <w:pPr>
              <w:ind w:firstLine="480"/>
              <w:rPr>
                <w:color w:val="auto"/>
              </w:rPr>
            </w:pPr>
            <w:r>
              <w:rPr>
                <w:rFonts w:hint="eastAsia"/>
                <w:color w:val="auto"/>
              </w:rPr>
              <w:t>（3）王家河水库。王家河水库是一座以防洪、灌溉为主的小（2）型水库，现状灌溉面积约1000亩，年灌溉取水量约22.88万m</w:t>
            </w:r>
            <w:r>
              <w:rPr>
                <w:rFonts w:hint="eastAsia"/>
                <w:color w:val="auto"/>
                <w:vertAlign w:val="superscript"/>
              </w:rPr>
              <w:t>3</w:t>
            </w:r>
            <w:r>
              <w:rPr>
                <w:rFonts w:hint="eastAsia"/>
                <w:color w:val="auto"/>
              </w:rPr>
              <w:t>；同时向通江县德源电力开发有限公司提供发电用水，年取水量为20万m</w:t>
            </w:r>
            <w:r>
              <w:rPr>
                <w:rFonts w:hint="eastAsia"/>
                <w:color w:val="auto"/>
                <w:vertAlign w:val="superscript"/>
              </w:rPr>
              <w:t>3</w:t>
            </w:r>
            <w:r>
              <w:rPr>
                <w:rFonts w:hint="eastAsia"/>
                <w:color w:val="auto"/>
              </w:rPr>
              <w:t>。现状王家河水库尚未承担本项目生活供水任务，拟通过新建王家河水库至铁佛水厂输水管道，将其作为铁佛水厂新增原水水源，并进一步向麻石镇延伸供水。</w:t>
            </w:r>
          </w:p>
          <w:p w14:paraId="1E710F72">
            <w:pPr>
              <w:ind w:firstLine="480"/>
              <w:rPr>
                <w:color w:val="auto"/>
              </w:rPr>
            </w:pPr>
            <w:r>
              <w:rPr>
                <w:rFonts w:hint="eastAsia"/>
                <w:color w:val="auto"/>
              </w:rPr>
              <w:t>总体来看，三座水库均已形成一定的灌溉、生活供水或发电利用功能，但不同水源之间缺乏有效联通，水库调蓄能力与现状输配水设施、供水范围之间尚未形成协调匹配。流里河水库和澌溪沟水库的灌溉功能受输水工程损毁制约较为突出，王家河水库的生活供水潜力尚未得到利用，现状水资源综合利用效益仍有较大提升空间。</w:t>
            </w:r>
          </w:p>
          <w:p w14:paraId="49407174">
            <w:pPr>
              <w:ind w:firstLine="480"/>
              <w:rPr>
                <w:color w:val="auto"/>
              </w:rPr>
            </w:pPr>
          </w:p>
          <w:p w14:paraId="577CF051">
            <w:pPr>
              <w:ind w:firstLine="482"/>
              <w:rPr>
                <w:color w:val="auto"/>
              </w:rPr>
            </w:pPr>
            <w:r>
              <w:rPr>
                <w:rFonts w:hint="eastAsia"/>
                <w:b/>
                <w:bCs/>
                <w:color w:val="auto"/>
                <w:lang w:val="en-US" w:eastAsia="zh-CN"/>
              </w:rPr>
              <w:t>四</w:t>
            </w:r>
            <w:r>
              <w:rPr>
                <w:b/>
                <w:bCs/>
                <w:color w:val="auto"/>
              </w:rPr>
              <w:t>、区域生态环境</w:t>
            </w:r>
          </w:p>
          <w:p w14:paraId="6F1C35CE">
            <w:pPr>
              <w:ind w:firstLine="480"/>
              <w:rPr>
                <w:color w:val="auto"/>
              </w:rPr>
            </w:pPr>
            <w:r>
              <w:rPr>
                <w:color w:val="auto"/>
              </w:rPr>
              <w:t>项目位于</w:t>
            </w:r>
            <w:r>
              <w:rPr>
                <w:rFonts w:hint="eastAsia"/>
                <w:color w:val="auto"/>
              </w:rPr>
              <w:t>大</w:t>
            </w:r>
            <w:r>
              <w:rPr>
                <w:color w:val="auto"/>
              </w:rPr>
              <w:t>通江河通江县</w:t>
            </w:r>
            <w:r>
              <w:rPr>
                <w:rFonts w:hint="eastAsia"/>
                <w:color w:val="auto"/>
              </w:rPr>
              <w:t>铁佛镇，项目涉及取水水域为王家河水库、流里河水库及澌溪河水库，项目灌溉区退水最终汇入通江河，</w:t>
            </w:r>
            <w:r>
              <w:rPr>
                <w:color w:val="auto"/>
              </w:rPr>
              <w:t>采用资料收集法和现场调查法相结合的方式，对项目区域生态环境现状进行了调查。项目周围为</w:t>
            </w:r>
            <w:r>
              <w:rPr>
                <w:rFonts w:hint="eastAsia"/>
                <w:color w:val="auto"/>
              </w:rPr>
              <w:t>山林</w:t>
            </w:r>
            <w:r>
              <w:rPr>
                <w:color w:val="auto"/>
              </w:rPr>
              <w:t>生态系统，自然</w:t>
            </w:r>
            <w:r>
              <w:rPr>
                <w:rFonts w:hint="eastAsia"/>
                <w:color w:val="auto"/>
              </w:rPr>
              <w:t>植被丰富</w:t>
            </w:r>
            <w:r>
              <w:rPr>
                <w:color w:val="auto"/>
              </w:rPr>
              <w:t>，本次重点调查了项目影响区域内</w:t>
            </w:r>
            <w:r>
              <w:rPr>
                <w:rFonts w:hint="eastAsia"/>
                <w:color w:val="auto"/>
              </w:rPr>
              <w:t>陆生生态环境现状、王家河水库、流里河水库、澌溪河水库及</w:t>
            </w:r>
            <w:r>
              <w:rPr>
                <w:color w:val="auto"/>
              </w:rPr>
              <w:t>通江水生生态环境现状。</w:t>
            </w:r>
          </w:p>
          <w:p w14:paraId="28490CA2">
            <w:pPr>
              <w:widowControl/>
              <w:adjustRightInd w:val="0"/>
              <w:snapToGrid w:val="0"/>
              <w:ind w:firstLine="482"/>
              <w:outlineLvl w:val="2"/>
              <w:rPr>
                <w:b/>
                <w:color w:val="auto"/>
              </w:rPr>
            </w:pPr>
            <w:r>
              <w:rPr>
                <w:rFonts w:hint="eastAsia"/>
                <w:b/>
                <w:color w:val="auto"/>
              </w:rPr>
              <w:t>1、</w:t>
            </w:r>
            <w:r>
              <w:rPr>
                <w:b/>
                <w:color w:val="auto"/>
              </w:rPr>
              <w:t>四川植被分区</w:t>
            </w:r>
          </w:p>
          <w:p w14:paraId="157672CE">
            <w:pPr>
              <w:autoSpaceDE/>
              <w:autoSpaceDN/>
              <w:ind w:firstLine="480"/>
              <w:rPr>
                <w:color w:val="auto"/>
              </w:rPr>
            </w:pPr>
            <w:r>
              <w:rPr>
                <w:color w:val="auto"/>
              </w:rPr>
              <w:t>根据《四川植被》中的分区系统，评价区属于“Ⅰ-川东盆地及川西南山地常绿阔叶林地带；IA-川东盆地偏湿性常绿阔叶林亚带；IA3-盆地底部丘陵低山植被地区；IA3（5）-川北深丘植被小区。</w:t>
            </w:r>
          </w:p>
          <w:p w14:paraId="7C1EF50A">
            <w:pPr>
              <w:autoSpaceDE/>
              <w:autoSpaceDN/>
              <w:ind w:firstLine="480"/>
              <w:rPr>
                <w:color w:val="auto"/>
              </w:rPr>
            </w:pPr>
            <w:r>
              <w:rPr>
                <w:color w:val="auto"/>
              </w:rPr>
              <w:t>川北深丘植被小区位于盆地中部北侧，是大巴山地区向盆地内部方山丘陵过渡的地带，包括宣汉、平昌、巴中、阆中、苍溪、剑阁等县的全部，梓潼、广元（昭化）、南江、通江、万源等市县的局部地区。境内主要属单斜丘陵，海拔高度一般为800米，相对高度100—200米，地层多属白垩纪紫色砂岩与页岩互层，在此母质上发育的为紫色土，海拔1000米以上地区以黄壤为主。年平均温16—17°C。1月平均温5—6°C，比川中方山丘陵区气温低，而年温差较大。年降水量在1000毫米以上，比川中方山丘陵区多，但季节分配不均匀，雾日较少，无霜期约为290天，有春旱、秋干、日照时数较多的特点。</w:t>
            </w:r>
          </w:p>
          <w:p w14:paraId="4AAB8747">
            <w:pPr>
              <w:autoSpaceDE/>
              <w:autoSpaceDN/>
              <w:ind w:firstLine="480"/>
              <w:rPr>
                <w:color w:val="auto"/>
              </w:rPr>
            </w:pPr>
            <w:r>
              <w:rPr>
                <w:color w:val="auto"/>
              </w:rPr>
              <w:t>自然植被主要为马尾松林、柏木林、栎类灌丛、亚热带草丛及其各种过渡类型。在个别海拔1200米左右的地方有石栎林、刺叶栎林、青柄林。马尾松林多分布在深丘顶部砂页岩发育的黄壤地段上，灌木有米饭花、映山红、米碎花、铁仔。而在干燥生境下。则以映山红、火棘、栎类为主。柏木林多分布在深丘下部的紫色页岩地段上，形成疏林，混有化香、黄连木、油桐。栎类灌丛多分布在山顶，由麻栎、栓皮栎、烟管荚蓬、火棘、蔷薇、盐肤木、映山红、铁仔、毛黄栌组成，为马尾松林和落叶栎林砍伐后形成的灌丛类型。柏木林再度砍伐后形成以黄茅、白茅、香茅为主的亚热带草丛，并散生着黄荆、牡荆、马桑、铁仔、短柄抱栎等植物。</w:t>
            </w:r>
          </w:p>
          <w:p w14:paraId="3171985E">
            <w:pPr>
              <w:autoSpaceDE/>
              <w:autoSpaceDN/>
              <w:ind w:firstLine="480"/>
              <w:rPr>
                <w:color w:val="auto"/>
              </w:rPr>
            </w:pPr>
            <w:r>
              <w:rPr>
                <w:color w:val="auto"/>
              </w:rPr>
              <w:t>栽培植被分布面积小，以粮食作物种植为主，随海拔高度的不同分别出现一年一熟、二年三熟与一年二熟类型，作物主要为小麦、青稞、玉米、豆类与马铃薯等。</w:t>
            </w:r>
          </w:p>
          <w:p w14:paraId="0A794B1D">
            <w:pPr>
              <w:ind w:firstLine="482"/>
              <w:rPr>
                <w:b/>
                <w:bCs/>
                <w:color w:val="auto"/>
                <w:kern w:val="0"/>
              </w:rPr>
            </w:pPr>
            <w:r>
              <w:rPr>
                <w:rFonts w:hint="eastAsia"/>
                <w:b/>
                <w:bCs/>
                <w:color w:val="auto"/>
                <w:kern w:val="0"/>
              </w:rPr>
              <w:t>2、</w:t>
            </w:r>
            <w:r>
              <w:rPr>
                <w:b/>
                <w:bCs/>
                <w:color w:val="auto"/>
                <w:kern w:val="0"/>
              </w:rPr>
              <w:t>陆生生态</w:t>
            </w:r>
          </w:p>
          <w:p w14:paraId="6A43416B">
            <w:pPr>
              <w:ind w:firstLine="480"/>
              <w:rPr>
                <w:color w:val="auto"/>
                <w:kern w:val="0"/>
              </w:rPr>
            </w:pPr>
            <w:r>
              <w:rPr>
                <w:color w:val="auto"/>
                <w:kern w:val="0"/>
              </w:rPr>
              <w:t>本项目位于</w:t>
            </w:r>
            <w:r>
              <w:rPr>
                <w:rFonts w:hint="eastAsia"/>
                <w:color w:val="auto"/>
                <w:kern w:val="0"/>
              </w:rPr>
              <w:t>通江县铁佛镇</w:t>
            </w:r>
            <w:r>
              <w:rPr>
                <w:color w:val="auto"/>
                <w:kern w:val="0"/>
              </w:rPr>
              <w:t>内，项目工程建设区主要位于道路两侧，工程占地范围内主要为草地及少量灌丛。本项目不涉及</w:t>
            </w:r>
            <w:r>
              <w:rPr>
                <w:rFonts w:hint="eastAsia"/>
                <w:color w:val="auto"/>
                <w:kern w:val="0"/>
              </w:rPr>
              <w:t>生态保护红线、</w:t>
            </w:r>
            <w:r>
              <w:rPr>
                <w:color w:val="auto"/>
                <w:kern w:val="0"/>
              </w:rPr>
              <w:t>自然保护区、国家森林公园等重要生态敏感区。</w:t>
            </w:r>
          </w:p>
          <w:p w14:paraId="31319451">
            <w:pPr>
              <w:ind w:firstLine="480"/>
              <w:rPr>
                <w:color w:val="auto"/>
                <w:kern w:val="0"/>
              </w:rPr>
            </w:pPr>
            <w:r>
              <w:rPr>
                <w:rFonts w:hint="eastAsia"/>
                <w:color w:val="auto"/>
                <w:kern w:val="0"/>
              </w:rPr>
              <w:t>工程区域</w:t>
            </w:r>
            <w:r>
              <w:rPr>
                <w:color w:val="auto"/>
                <w:kern w:val="0"/>
              </w:rPr>
              <w:t>内生物多样性程度较低，</w:t>
            </w:r>
            <w:r>
              <w:rPr>
                <w:rFonts w:hint="eastAsia"/>
                <w:color w:val="auto"/>
                <w:kern w:val="0"/>
              </w:rPr>
              <w:t>占地范围内未发现珍稀保护植物和古树名木</w:t>
            </w:r>
            <w:r>
              <w:rPr>
                <w:color w:val="auto"/>
                <w:kern w:val="0"/>
              </w:rPr>
              <w:t>，</w:t>
            </w:r>
            <w:r>
              <w:rPr>
                <w:rFonts w:hint="eastAsia"/>
                <w:color w:val="auto"/>
                <w:kern w:val="0"/>
              </w:rPr>
              <w:t>未发现</w:t>
            </w:r>
            <w:r>
              <w:rPr>
                <w:color w:val="auto"/>
                <w:kern w:val="0"/>
              </w:rPr>
              <w:t>大型野生动物</w:t>
            </w:r>
            <w:r>
              <w:rPr>
                <w:rFonts w:hint="eastAsia"/>
                <w:color w:val="auto"/>
                <w:kern w:val="0"/>
              </w:rPr>
              <w:t>，</w:t>
            </w:r>
            <w:r>
              <w:rPr>
                <w:color w:val="auto"/>
                <w:kern w:val="0"/>
              </w:rPr>
              <w:t>主要有小型动物如蛙、野兔、野鸡、麻雀、蛇等。</w:t>
            </w:r>
          </w:p>
          <w:p w14:paraId="5613B739">
            <w:pPr>
              <w:ind w:firstLine="482"/>
              <w:rPr>
                <w:b/>
                <w:bCs/>
                <w:color w:val="auto"/>
                <w:kern w:val="0"/>
              </w:rPr>
            </w:pPr>
            <w:r>
              <w:rPr>
                <w:rFonts w:hint="eastAsia"/>
                <w:b/>
                <w:bCs/>
                <w:color w:val="auto"/>
                <w:kern w:val="0"/>
              </w:rPr>
              <w:t>3、水生生态现状调查</w:t>
            </w:r>
          </w:p>
          <w:p w14:paraId="4D68F0B4">
            <w:pPr>
              <w:adjustRightInd w:val="0"/>
              <w:snapToGrid w:val="0"/>
              <w:ind w:firstLine="480"/>
              <w:rPr>
                <w:color w:val="auto"/>
                <w:kern w:val="0"/>
              </w:rPr>
            </w:pPr>
            <w:r>
              <w:rPr>
                <w:rFonts w:hint="eastAsia"/>
                <w:color w:val="auto"/>
                <w:kern w:val="0"/>
              </w:rPr>
              <w:t>工程区内水生维管束植物种类和数量均较少，仅有一些眼子草、苴草、轮叶黑藻等稀疏群落零星分布，其余皆为湿生性植物，如喜旱莲子草、旱苗蓼、牛毛毡等32属32种。区域鱼类分属于2目4科25种，其中以鲤形目鲤科的种类最丰富，约占总数的64%，大多数鱼类具有一定的经济价值。沿线养殖鱼类主要是鲤科鱼类，其中主要养殖鱼种有鲢、鳙、草鱼、鲤、鲫等，产量较高的有草鱼、鳙、鳊、鲫黄颡鱼等，主要鱼类诱饵有甲藻、蓝藻、裸藻等。</w:t>
            </w:r>
          </w:p>
          <w:p w14:paraId="4DE711EA">
            <w:pPr>
              <w:ind w:firstLine="480"/>
              <w:rPr>
                <w:color w:val="auto"/>
              </w:rPr>
            </w:pPr>
            <w:r>
              <w:rPr>
                <w:color w:val="auto"/>
              </w:rPr>
              <w:t>通江河段受下游电站影响，水流较缓，生态环境较简单，孕育着多种多样的生物，形成了鱼类生态类群多样性。</w:t>
            </w:r>
          </w:p>
          <w:p w14:paraId="34A726C2">
            <w:pPr>
              <w:ind w:firstLine="480"/>
              <w:rPr>
                <w:color w:val="auto"/>
              </w:rPr>
            </w:pPr>
            <w:r>
              <w:rPr>
                <w:color w:val="auto"/>
              </w:rPr>
              <w:t>①江河流水底层类群</w:t>
            </w:r>
            <w:r>
              <w:rPr>
                <w:rFonts w:hint="eastAsia"/>
                <w:color w:val="auto"/>
              </w:rPr>
              <w:t>：</w:t>
            </w:r>
            <w:r>
              <w:rPr>
                <w:color w:val="auto"/>
              </w:rPr>
              <w:t>是一群典型的适应江河流水水底环境生活的鱼类，一般不进入静水和缓流水环境，此群种类有中华沙鳅、中华倒刺等。</w:t>
            </w:r>
          </w:p>
          <w:p w14:paraId="0B86B7C6">
            <w:pPr>
              <w:ind w:firstLine="480"/>
              <w:rPr>
                <w:color w:val="auto"/>
              </w:rPr>
            </w:pPr>
            <w:r>
              <w:rPr>
                <w:color w:val="auto"/>
              </w:rPr>
              <w:t>②江河流水中、上层类群</w:t>
            </w:r>
            <w:r>
              <w:rPr>
                <w:rFonts w:hint="eastAsia"/>
                <w:color w:val="auto"/>
              </w:rPr>
              <w:t>：</w:t>
            </w:r>
            <w:r>
              <w:rPr>
                <w:color w:val="auto"/>
              </w:rPr>
              <w:t>是生活在江河流水水体的中、上层鱼类。调查区段有草鱼、鳙、鲢等。</w:t>
            </w:r>
          </w:p>
          <w:p w14:paraId="4A44CB7F">
            <w:pPr>
              <w:ind w:firstLine="480"/>
              <w:rPr>
                <w:color w:val="auto"/>
              </w:rPr>
            </w:pPr>
            <w:r>
              <w:rPr>
                <w:color w:val="auto"/>
              </w:rPr>
              <w:t>③江河流水中、下层类群</w:t>
            </w:r>
            <w:r>
              <w:rPr>
                <w:rFonts w:hint="eastAsia"/>
                <w:color w:val="auto"/>
              </w:rPr>
              <w:t>：</w:t>
            </w:r>
            <w:r>
              <w:rPr>
                <w:color w:val="auto"/>
              </w:rPr>
              <w:t>此类群的鱼类主要生活在江河水体中、下层。有唇鱼骨、花鱼骨、草鱼、鲤、鲫、长吻等。这类群鱼类中部份适应性较强，对缓流水以至静水水体都有一定的适应能力，如唇鱼骨、草鱼、鲤、长吻、鲫等鱼类④静水缓流水类群</w:t>
            </w:r>
            <w:r>
              <w:rPr>
                <w:rFonts w:hint="eastAsia"/>
                <w:color w:val="auto"/>
              </w:rPr>
              <w:t>：</w:t>
            </w:r>
            <w:r>
              <w:rPr>
                <w:color w:val="auto"/>
              </w:rPr>
              <w:t>此类群主要有银鼩等。</w:t>
            </w:r>
          </w:p>
          <w:p w14:paraId="4C3F9330">
            <w:pPr>
              <w:ind w:firstLine="480"/>
              <w:rPr>
                <w:color w:val="auto"/>
              </w:rPr>
            </w:pPr>
            <w:r>
              <w:rPr>
                <w:color w:val="auto"/>
              </w:rPr>
              <w:t>⑤洞穴类群</w:t>
            </w:r>
            <w:r>
              <w:rPr>
                <w:rFonts w:hint="eastAsia"/>
                <w:color w:val="auto"/>
              </w:rPr>
              <w:t>：</w:t>
            </w:r>
            <w:r>
              <w:rPr>
                <w:color w:val="auto"/>
              </w:rPr>
              <w:t>此类群鱼类主要生活在江河和静水的洞穴中，有黄鳝、泥鳅共2种。</w:t>
            </w:r>
          </w:p>
          <w:p w14:paraId="3DFE804A">
            <w:pPr>
              <w:ind w:firstLine="482"/>
              <w:rPr>
                <w:b/>
                <w:bCs/>
                <w:color w:val="auto"/>
              </w:rPr>
            </w:pPr>
            <w:r>
              <w:rPr>
                <w:b/>
                <w:bCs/>
                <w:color w:val="auto"/>
              </w:rPr>
              <w:t>“三场”调查结果</w:t>
            </w:r>
          </w:p>
          <w:p w14:paraId="678C6747">
            <w:pPr>
              <w:ind w:firstLine="480"/>
              <w:rPr>
                <w:rFonts w:hint="default"/>
                <w:color w:val="auto"/>
                <w:lang w:val="en-US"/>
              </w:rPr>
            </w:pPr>
            <w:r>
              <w:rPr>
                <w:color w:val="auto"/>
              </w:rPr>
              <w:t>根据结合《四川诺水河自然保护区综合考察报告》、《岩原鲤种质资源保护区考察报告》和《大鲵保护区考察报告》等相关资料拟建项目通江河</w:t>
            </w:r>
            <w:r>
              <w:rPr>
                <w:rFonts w:hint="eastAsia"/>
                <w:color w:val="auto"/>
              </w:rPr>
              <w:t>河段</w:t>
            </w:r>
            <w:r>
              <w:rPr>
                <w:color w:val="auto"/>
              </w:rPr>
              <w:t>均无</w:t>
            </w:r>
            <w:r>
              <w:rPr>
                <w:rFonts w:hint="eastAsia"/>
                <w:color w:val="auto"/>
                <w:lang w:val="en-US" w:eastAsia="zh-CN"/>
              </w:rPr>
              <w:t>珍稀保护</w:t>
            </w:r>
            <w:r>
              <w:rPr>
                <w:color w:val="auto"/>
              </w:rPr>
              <w:t>鱼类</w:t>
            </w:r>
            <w:r>
              <w:rPr>
                <w:rFonts w:hint="eastAsia"/>
                <w:color w:val="auto"/>
                <w:lang w:val="en-US" w:eastAsia="zh-CN"/>
              </w:rPr>
              <w:t>及其</w:t>
            </w:r>
            <w:r>
              <w:rPr>
                <w:color w:val="auto"/>
              </w:rPr>
              <w:t>重要的产卵场、越冬场和索饵场</w:t>
            </w:r>
            <w:r>
              <w:rPr>
                <w:rFonts w:hint="eastAsia"/>
                <w:color w:val="auto"/>
                <w:lang w:eastAsia="zh-CN"/>
              </w:rPr>
              <w:t>，</w:t>
            </w:r>
            <w:r>
              <w:rPr>
                <w:rFonts w:hint="eastAsia"/>
                <w:color w:val="auto"/>
                <w:lang w:val="en-US" w:eastAsia="zh-CN"/>
              </w:rPr>
              <w:t>库区内可能存在经济鱼类越冬场。</w:t>
            </w:r>
          </w:p>
          <w:p w14:paraId="10630B2D">
            <w:pPr>
              <w:ind w:firstLine="482"/>
              <w:rPr>
                <w:b/>
                <w:bCs/>
                <w:color w:val="auto"/>
              </w:rPr>
            </w:pPr>
            <w:r>
              <w:rPr>
                <w:b/>
                <w:bCs/>
                <w:color w:val="auto"/>
              </w:rPr>
              <w:t>4、环境空气质量现状</w:t>
            </w:r>
          </w:p>
          <w:p w14:paraId="33CCC43E">
            <w:pPr>
              <w:ind w:firstLine="480"/>
              <w:rPr>
                <w:color w:val="auto"/>
              </w:rPr>
            </w:pPr>
            <w:r>
              <w:rPr>
                <w:color w:val="auto"/>
              </w:rPr>
              <w:t>为了解项目周边环境空气质量状况，本评价收集了巴中市生态环境局公示的《2024巴中市生态环境状况公报》。根据公报，全市区县的环境空气优良率均在90%以上，从高到低依次是南江县97.3%、平昌县95.6%，恩阳区94.3%。通江县93.2%。</w:t>
            </w:r>
          </w:p>
          <w:p w14:paraId="51913E10">
            <w:pPr>
              <w:ind w:firstLine="480"/>
              <w:rPr>
                <w:color w:val="auto"/>
              </w:rPr>
            </w:pPr>
            <w:r>
              <w:rPr>
                <w:color w:val="auto"/>
              </w:rPr>
              <w:t>与上年相比，恩阳区、南江县、和通江县优良率均上升，分别上升了3.2、1.7和0.3个百分点。平昌县优良率下降0.3个百分点。2024年区县环境空气六项主要污染物年均浓度保持为全部达标，由此可以判定，项目所在评价区域为达标区。</w:t>
            </w:r>
          </w:p>
          <w:p w14:paraId="3B076745">
            <w:pPr>
              <w:ind w:firstLine="480"/>
              <w:rPr>
                <w:color w:val="auto"/>
              </w:rPr>
            </w:pPr>
            <w:r>
              <w:rPr>
                <w:rFonts w:hint="eastAsia"/>
                <w:color w:val="auto"/>
              </w:rPr>
              <w:t>本次评价委托</w:t>
            </w:r>
            <w:r>
              <w:rPr>
                <w:color w:val="auto"/>
              </w:rPr>
              <w:t>四川创标环境检测有限公司</w:t>
            </w:r>
            <w:r>
              <w:rPr>
                <w:rFonts w:hint="eastAsia"/>
                <w:color w:val="auto"/>
              </w:rPr>
              <w:t>于</w:t>
            </w:r>
            <w:r>
              <w:rPr>
                <w:color w:val="auto"/>
              </w:rPr>
              <w:t>202</w:t>
            </w:r>
            <w:r>
              <w:rPr>
                <w:rFonts w:hint="eastAsia"/>
                <w:color w:val="auto"/>
              </w:rPr>
              <w:t>5</w:t>
            </w:r>
            <w:r>
              <w:rPr>
                <w:color w:val="auto"/>
              </w:rPr>
              <w:t>年</w:t>
            </w:r>
            <w:r>
              <w:rPr>
                <w:rFonts w:hint="eastAsia"/>
                <w:color w:val="auto"/>
              </w:rPr>
              <w:t>8</w:t>
            </w:r>
            <w:r>
              <w:rPr>
                <w:color w:val="auto"/>
              </w:rPr>
              <w:t>月</w:t>
            </w:r>
            <w:r>
              <w:rPr>
                <w:rFonts w:hint="eastAsia"/>
                <w:color w:val="auto"/>
              </w:rPr>
              <w:t>19</w:t>
            </w:r>
            <w:r>
              <w:rPr>
                <w:color w:val="auto"/>
              </w:rPr>
              <w:t>日至</w:t>
            </w:r>
            <w:r>
              <w:rPr>
                <w:rFonts w:hint="eastAsia"/>
                <w:color w:val="auto"/>
              </w:rPr>
              <w:t>8</w:t>
            </w:r>
            <w:r>
              <w:rPr>
                <w:color w:val="auto"/>
              </w:rPr>
              <w:t>月</w:t>
            </w:r>
            <w:r>
              <w:rPr>
                <w:rFonts w:hint="eastAsia"/>
                <w:color w:val="auto"/>
              </w:rPr>
              <w:t>22</w:t>
            </w:r>
            <w:r>
              <w:rPr>
                <w:color w:val="auto"/>
              </w:rPr>
              <w:t>日对</w:t>
            </w:r>
            <w:r>
              <w:rPr>
                <w:rFonts w:hint="eastAsia"/>
                <w:color w:val="auto"/>
              </w:rPr>
              <w:t>项目</w:t>
            </w:r>
            <w:r>
              <w:rPr>
                <w:color w:val="auto"/>
              </w:rPr>
              <w:t>特征污染物TSP</w:t>
            </w:r>
            <w:r>
              <w:rPr>
                <w:rFonts w:hint="eastAsia"/>
                <w:color w:val="auto"/>
              </w:rPr>
              <w:t>进行了检测，监测点位如下图所示</w:t>
            </w:r>
            <w:r>
              <w:rPr>
                <w:color w:val="auto"/>
              </w:rPr>
              <w:t>，监测结果如下表所示。</w:t>
            </w:r>
          </w:p>
          <w:p w14:paraId="67673C01">
            <w:pPr>
              <w:ind w:firstLine="0" w:firstLineChars="0"/>
              <w:rPr>
                <w:color w:val="auto"/>
              </w:rPr>
            </w:pPr>
            <w:r>
              <w:rPr>
                <w:color w:val="auto"/>
              </w:rPr>
              <w:drawing>
                <wp:inline distT="0" distB="0" distL="0" distR="0">
                  <wp:extent cx="5274310" cy="3514090"/>
                  <wp:effectExtent l="0" t="0" r="2540" b="0"/>
                  <wp:docPr id="132604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412"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4310" cy="3514090"/>
                          </a:xfrm>
                          <a:prstGeom prst="rect">
                            <a:avLst/>
                          </a:prstGeom>
                          <a:noFill/>
                          <a:ln>
                            <a:noFill/>
                          </a:ln>
                        </pic:spPr>
                      </pic:pic>
                    </a:graphicData>
                  </a:graphic>
                </wp:inline>
              </w:drawing>
            </w:r>
          </w:p>
          <w:p w14:paraId="38D0A458">
            <w:pPr>
              <w:ind w:firstLine="0" w:firstLineChars="0"/>
              <w:jc w:val="center"/>
              <w:rPr>
                <w:b/>
                <w:bCs/>
                <w:color w:val="auto"/>
              </w:rPr>
            </w:pPr>
            <w:r>
              <w:rPr>
                <w:b/>
                <w:bCs/>
                <w:color w:val="auto"/>
              </w:rPr>
              <w:t xml:space="preserve">图 </w:t>
            </w:r>
            <w:r>
              <w:rPr>
                <w:rFonts w:hint="eastAsia"/>
                <w:b/>
                <w:bCs/>
                <w:color w:val="auto"/>
              </w:rPr>
              <w:t>3</w:t>
            </w:r>
            <w:r>
              <w:rPr>
                <w:b/>
                <w:bCs/>
                <w:color w:val="auto"/>
              </w:rPr>
              <w:t>-</w:t>
            </w:r>
            <w:r>
              <w:rPr>
                <w:rFonts w:hint="eastAsia"/>
                <w:b/>
                <w:bCs/>
                <w:color w:val="auto"/>
              </w:rPr>
              <w:t>3</w:t>
            </w:r>
            <w:r>
              <w:rPr>
                <w:b/>
                <w:bCs/>
                <w:color w:val="auto"/>
              </w:rPr>
              <w:t xml:space="preserve"> </w:t>
            </w:r>
            <w:r>
              <w:rPr>
                <w:rFonts w:hint="eastAsia"/>
                <w:b/>
                <w:bCs/>
                <w:color w:val="auto"/>
              </w:rPr>
              <w:t>本</w:t>
            </w:r>
            <w:r>
              <w:rPr>
                <w:b/>
                <w:bCs/>
                <w:color w:val="auto"/>
              </w:rPr>
              <w:t>项目环境空气监测点位示意图</w:t>
            </w:r>
          </w:p>
          <w:p w14:paraId="174D5499">
            <w:pPr>
              <w:pStyle w:val="17"/>
              <w:rPr>
                <w:rFonts w:hint="default"/>
                <w:color w:val="auto"/>
              </w:rPr>
            </w:pPr>
          </w:p>
          <w:p w14:paraId="2611A63F">
            <w:pPr>
              <w:pStyle w:val="17"/>
              <w:rPr>
                <w:rFonts w:hint="default"/>
                <w:color w:val="auto"/>
              </w:rPr>
            </w:pPr>
            <w:r>
              <w:rPr>
                <w:rFonts w:hint="default"/>
                <w:color w:val="auto"/>
              </w:rPr>
              <w:t>表3-</w:t>
            </w:r>
            <w:r>
              <w:rPr>
                <w:color w:val="auto"/>
              </w:rPr>
              <w:t>1</w:t>
            </w:r>
            <w:r>
              <w:rPr>
                <w:rFonts w:hint="default"/>
                <w:color w:val="auto"/>
              </w:rPr>
              <w:t>环境空气检测结果及评价表单位：µg/m</w:t>
            </w:r>
            <w:r>
              <w:rPr>
                <w:rFonts w:hint="default"/>
                <w:color w:val="auto"/>
                <w:vertAlign w:val="superscript"/>
              </w:rPr>
              <w:t>3</w:t>
            </w:r>
          </w:p>
          <w:tbl>
            <w:tblPr>
              <w:tblStyle w:val="1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1198"/>
              <w:gridCol w:w="2029"/>
              <w:gridCol w:w="1171"/>
              <w:gridCol w:w="963"/>
              <w:gridCol w:w="1064"/>
              <w:gridCol w:w="733"/>
            </w:tblGrid>
            <w:tr w14:paraId="2BB1C1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trPr>
              <w:tc>
                <w:tcPr>
                  <w:tcW w:w="699" w:type="pct"/>
                  <w:tcBorders>
                    <w:tl2br w:val="nil"/>
                    <w:tr2bl w:val="nil"/>
                  </w:tcBorders>
                  <w:vAlign w:val="center"/>
                </w:tcPr>
                <w:p w14:paraId="0E23931C">
                  <w:pPr>
                    <w:pStyle w:val="16"/>
                    <w:jc w:val="center"/>
                    <w:rPr>
                      <w:color w:val="auto"/>
                    </w:rPr>
                  </w:pPr>
                  <w:r>
                    <w:rPr>
                      <w:color w:val="auto"/>
                    </w:rPr>
                    <w:t>检测项目</w:t>
                  </w:r>
                </w:p>
              </w:tc>
              <w:tc>
                <w:tcPr>
                  <w:tcW w:w="719" w:type="pct"/>
                  <w:tcBorders>
                    <w:tl2br w:val="nil"/>
                    <w:tr2bl w:val="nil"/>
                  </w:tcBorders>
                  <w:vAlign w:val="center"/>
                </w:tcPr>
                <w:p w14:paraId="05CF52F2">
                  <w:pPr>
                    <w:pStyle w:val="16"/>
                    <w:jc w:val="center"/>
                    <w:rPr>
                      <w:color w:val="auto"/>
                    </w:rPr>
                  </w:pPr>
                  <w:r>
                    <w:rPr>
                      <w:color w:val="auto"/>
                    </w:rPr>
                    <w:t>检测点位</w:t>
                  </w:r>
                </w:p>
              </w:tc>
              <w:tc>
                <w:tcPr>
                  <w:tcW w:w="1218" w:type="pct"/>
                  <w:tcBorders>
                    <w:tl2br w:val="nil"/>
                    <w:tr2bl w:val="nil"/>
                  </w:tcBorders>
                  <w:vAlign w:val="center"/>
                </w:tcPr>
                <w:p w14:paraId="7DADC31C">
                  <w:pPr>
                    <w:pStyle w:val="16"/>
                    <w:jc w:val="center"/>
                    <w:rPr>
                      <w:color w:val="auto"/>
                    </w:rPr>
                  </w:pPr>
                  <w:r>
                    <w:rPr>
                      <w:color w:val="auto"/>
                    </w:rPr>
                    <w:t>监测时间</w:t>
                  </w:r>
                </w:p>
              </w:tc>
              <w:tc>
                <w:tcPr>
                  <w:tcW w:w="703" w:type="pct"/>
                  <w:tcBorders>
                    <w:tl2br w:val="nil"/>
                    <w:tr2bl w:val="nil"/>
                  </w:tcBorders>
                  <w:vAlign w:val="center"/>
                </w:tcPr>
                <w:p w14:paraId="0E230807">
                  <w:pPr>
                    <w:pStyle w:val="16"/>
                    <w:jc w:val="center"/>
                    <w:rPr>
                      <w:color w:val="auto"/>
                    </w:rPr>
                  </w:pPr>
                  <w:r>
                    <w:rPr>
                      <w:color w:val="auto"/>
                    </w:rPr>
                    <w:t>检测结果</w:t>
                  </w:r>
                </w:p>
              </w:tc>
              <w:tc>
                <w:tcPr>
                  <w:tcW w:w="578" w:type="pct"/>
                  <w:tcBorders>
                    <w:tl2br w:val="nil"/>
                    <w:tr2bl w:val="nil"/>
                  </w:tcBorders>
                  <w:vAlign w:val="center"/>
                </w:tcPr>
                <w:p w14:paraId="70F7BBF2">
                  <w:pPr>
                    <w:pStyle w:val="16"/>
                    <w:jc w:val="center"/>
                    <w:rPr>
                      <w:color w:val="auto"/>
                    </w:rPr>
                  </w:pPr>
                  <w:r>
                    <w:rPr>
                      <w:color w:val="auto"/>
                    </w:rPr>
                    <w:t>平均时间</w:t>
                  </w:r>
                </w:p>
              </w:tc>
              <w:tc>
                <w:tcPr>
                  <w:tcW w:w="639" w:type="pct"/>
                  <w:tcBorders>
                    <w:tl2br w:val="nil"/>
                    <w:tr2bl w:val="nil"/>
                  </w:tcBorders>
                  <w:vAlign w:val="center"/>
                </w:tcPr>
                <w:p w14:paraId="6AF23716">
                  <w:pPr>
                    <w:pStyle w:val="16"/>
                    <w:jc w:val="center"/>
                    <w:rPr>
                      <w:color w:val="auto"/>
                    </w:rPr>
                  </w:pPr>
                  <w:r>
                    <w:rPr>
                      <w:color w:val="auto"/>
                    </w:rPr>
                    <w:t>标准限值</w:t>
                  </w:r>
                </w:p>
              </w:tc>
              <w:tc>
                <w:tcPr>
                  <w:tcW w:w="440" w:type="pct"/>
                  <w:tcBorders>
                    <w:tl2br w:val="nil"/>
                    <w:tr2bl w:val="nil"/>
                  </w:tcBorders>
                  <w:vAlign w:val="center"/>
                </w:tcPr>
                <w:p w14:paraId="693830B7">
                  <w:pPr>
                    <w:pStyle w:val="16"/>
                    <w:jc w:val="center"/>
                    <w:rPr>
                      <w:color w:val="auto"/>
                    </w:rPr>
                  </w:pPr>
                  <w:r>
                    <w:rPr>
                      <w:color w:val="auto"/>
                    </w:rPr>
                    <w:t>达标情况</w:t>
                  </w:r>
                </w:p>
              </w:tc>
            </w:tr>
            <w:tr w14:paraId="224E0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restart"/>
                  <w:tcBorders>
                    <w:tl2br w:val="nil"/>
                    <w:tr2bl w:val="nil"/>
                  </w:tcBorders>
                  <w:vAlign w:val="center"/>
                </w:tcPr>
                <w:p w14:paraId="5D6125CD">
                  <w:pPr>
                    <w:pStyle w:val="16"/>
                    <w:jc w:val="center"/>
                    <w:rPr>
                      <w:color w:val="auto"/>
                    </w:rPr>
                  </w:pPr>
                  <w:r>
                    <w:rPr>
                      <w:color w:val="auto"/>
                    </w:rPr>
                    <w:t>TSP</w:t>
                  </w:r>
                </w:p>
              </w:tc>
              <w:tc>
                <w:tcPr>
                  <w:tcW w:w="719" w:type="pct"/>
                  <w:vMerge w:val="restart"/>
                  <w:tcBorders>
                    <w:tl2br w:val="nil"/>
                    <w:tr2bl w:val="nil"/>
                  </w:tcBorders>
                  <w:vAlign w:val="center"/>
                </w:tcPr>
                <w:p w14:paraId="72F41CA2">
                  <w:pPr>
                    <w:pStyle w:val="16"/>
                    <w:jc w:val="center"/>
                    <w:rPr>
                      <w:color w:val="auto"/>
                    </w:rPr>
                  </w:pPr>
                  <w:r>
                    <w:rPr>
                      <w:rFonts w:hint="eastAsia"/>
                      <w:color w:val="auto"/>
                    </w:rPr>
                    <w:t>1#</w:t>
                  </w:r>
                </w:p>
              </w:tc>
              <w:tc>
                <w:tcPr>
                  <w:tcW w:w="1218" w:type="pct"/>
                  <w:tcBorders>
                    <w:tl2br w:val="nil"/>
                    <w:tr2bl w:val="nil"/>
                  </w:tcBorders>
                  <w:vAlign w:val="center"/>
                </w:tcPr>
                <w:p w14:paraId="19FB7A06">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19~</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p>
              </w:tc>
              <w:tc>
                <w:tcPr>
                  <w:tcW w:w="703" w:type="pct"/>
                  <w:tcBorders>
                    <w:tl2br w:val="nil"/>
                    <w:tr2bl w:val="nil"/>
                  </w:tcBorders>
                  <w:vAlign w:val="center"/>
                </w:tcPr>
                <w:p w14:paraId="5F8505BB">
                  <w:pPr>
                    <w:pStyle w:val="16"/>
                    <w:jc w:val="center"/>
                    <w:rPr>
                      <w:color w:val="auto"/>
                    </w:rPr>
                  </w:pPr>
                  <w:r>
                    <w:rPr>
                      <w:rFonts w:hint="eastAsia"/>
                      <w:color w:val="auto"/>
                    </w:rPr>
                    <w:t>205</w:t>
                  </w:r>
                </w:p>
              </w:tc>
              <w:tc>
                <w:tcPr>
                  <w:tcW w:w="578" w:type="pct"/>
                  <w:vMerge w:val="restart"/>
                  <w:tcBorders>
                    <w:tl2br w:val="nil"/>
                    <w:tr2bl w:val="nil"/>
                  </w:tcBorders>
                  <w:vAlign w:val="center"/>
                </w:tcPr>
                <w:p w14:paraId="0D39B0B3">
                  <w:pPr>
                    <w:pStyle w:val="16"/>
                    <w:jc w:val="center"/>
                    <w:rPr>
                      <w:color w:val="auto"/>
                    </w:rPr>
                  </w:pPr>
                  <w:r>
                    <w:rPr>
                      <w:color w:val="auto"/>
                    </w:rPr>
                    <w:t>24小时平均</w:t>
                  </w:r>
                </w:p>
              </w:tc>
              <w:tc>
                <w:tcPr>
                  <w:tcW w:w="639" w:type="pct"/>
                  <w:vMerge w:val="restart"/>
                  <w:tcBorders>
                    <w:tl2br w:val="nil"/>
                    <w:tr2bl w:val="nil"/>
                  </w:tcBorders>
                  <w:vAlign w:val="center"/>
                </w:tcPr>
                <w:p w14:paraId="793C8DBA">
                  <w:pPr>
                    <w:pStyle w:val="16"/>
                    <w:jc w:val="center"/>
                    <w:rPr>
                      <w:color w:val="auto"/>
                    </w:rPr>
                  </w:pPr>
                  <w:r>
                    <w:rPr>
                      <w:color w:val="auto"/>
                    </w:rPr>
                    <w:t>300</w:t>
                  </w:r>
                </w:p>
              </w:tc>
              <w:tc>
                <w:tcPr>
                  <w:tcW w:w="440" w:type="pct"/>
                  <w:vMerge w:val="restart"/>
                  <w:tcBorders>
                    <w:tl2br w:val="nil"/>
                    <w:tr2bl w:val="nil"/>
                  </w:tcBorders>
                  <w:vAlign w:val="center"/>
                </w:tcPr>
                <w:p w14:paraId="23161C72">
                  <w:pPr>
                    <w:pStyle w:val="16"/>
                    <w:jc w:val="center"/>
                    <w:rPr>
                      <w:color w:val="auto"/>
                    </w:rPr>
                  </w:pPr>
                  <w:r>
                    <w:rPr>
                      <w:color w:val="auto"/>
                    </w:rPr>
                    <w:t>达标</w:t>
                  </w:r>
                </w:p>
              </w:tc>
            </w:tr>
            <w:tr w14:paraId="09FE7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27AC72FB">
                  <w:pPr>
                    <w:pStyle w:val="16"/>
                    <w:jc w:val="center"/>
                    <w:rPr>
                      <w:color w:val="auto"/>
                    </w:rPr>
                  </w:pPr>
                </w:p>
              </w:tc>
              <w:tc>
                <w:tcPr>
                  <w:tcW w:w="719" w:type="pct"/>
                  <w:vMerge w:val="continue"/>
                  <w:tcBorders>
                    <w:tl2br w:val="nil"/>
                    <w:tr2bl w:val="nil"/>
                  </w:tcBorders>
                  <w:vAlign w:val="center"/>
                </w:tcPr>
                <w:p w14:paraId="1DC3C168">
                  <w:pPr>
                    <w:pStyle w:val="16"/>
                    <w:jc w:val="center"/>
                    <w:rPr>
                      <w:color w:val="auto"/>
                    </w:rPr>
                  </w:pPr>
                </w:p>
              </w:tc>
              <w:tc>
                <w:tcPr>
                  <w:tcW w:w="1218" w:type="pct"/>
                  <w:tcBorders>
                    <w:tl2br w:val="nil"/>
                    <w:tr2bl w:val="nil"/>
                  </w:tcBorders>
                  <w:vAlign w:val="center"/>
                </w:tcPr>
                <w:p w14:paraId="79DF6B6D">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p>
              </w:tc>
              <w:tc>
                <w:tcPr>
                  <w:tcW w:w="703" w:type="pct"/>
                  <w:tcBorders>
                    <w:tl2br w:val="nil"/>
                    <w:tr2bl w:val="nil"/>
                  </w:tcBorders>
                  <w:vAlign w:val="center"/>
                </w:tcPr>
                <w:p w14:paraId="0B291ABA">
                  <w:pPr>
                    <w:pStyle w:val="16"/>
                    <w:jc w:val="center"/>
                    <w:rPr>
                      <w:color w:val="auto"/>
                    </w:rPr>
                  </w:pPr>
                  <w:r>
                    <w:rPr>
                      <w:rFonts w:hint="eastAsia"/>
                      <w:color w:val="auto"/>
                    </w:rPr>
                    <w:t>209</w:t>
                  </w:r>
                </w:p>
              </w:tc>
              <w:tc>
                <w:tcPr>
                  <w:tcW w:w="578" w:type="pct"/>
                  <w:vMerge w:val="continue"/>
                  <w:tcBorders>
                    <w:tl2br w:val="nil"/>
                    <w:tr2bl w:val="nil"/>
                  </w:tcBorders>
                  <w:vAlign w:val="center"/>
                </w:tcPr>
                <w:p w14:paraId="42F31B3A">
                  <w:pPr>
                    <w:pStyle w:val="16"/>
                    <w:jc w:val="center"/>
                    <w:rPr>
                      <w:color w:val="auto"/>
                    </w:rPr>
                  </w:pPr>
                </w:p>
              </w:tc>
              <w:tc>
                <w:tcPr>
                  <w:tcW w:w="639" w:type="pct"/>
                  <w:vMerge w:val="continue"/>
                  <w:tcBorders>
                    <w:tl2br w:val="nil"/>
                    <w:tr2bl w:val="nil"/>
                  </w:tcBorders>
                  <w:vAlign w:val="center"/>
                </w:tcPr>
                <w:p w14:paraId="036848C1">
                  <w:pPr>
                    <w:pStyle w:val="16"/>
                    <w:jc w:val="center"/>
                    <w:rPr>
                      <w:color w:val="auto"/>
                    </w:rPr>
                  </w:pPr>
                </w:p>
              </w:tc>
              <w:tc>
                <w:tcPr>
                  <w:tcW w:w="440" w:type="pct"/>
                  <w:vMerge w:val="continue"/>
                  <w:tcBorders>
                    <w:tl2br w:val="nil"/>
                    <w:tr2bl w:val="nil"/>
                  </w:tcBorders>
                  <w:vAlign w:val="center"/>
                </w:tcPr>
                <w:p w14:paraId="52BBCEEE">
                  <w:pPr>
                    <w:pStyle w:val="16"/>
                    <w:jc w:val="center"/>
                    <w:rPr>
                      <w:color w:val="auto"/>
                    </w:rPr>
                  </w:pPr>
                </w:p>
              </w:tc>
            </w:tr>
            <w:tr w14:paraId="3522F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013C46B9">
                  <w:pPr>
                    <w:pStyle w:val="16"/>
                    <w:jc w:val="center"/>
                    <w:rPr>
                      <w:color w:val="auto"/>
                    </w:rPr>
                  </w:pPr>
                </w:p>
              </w:tc>
              <w:tc>
                <w:tcPr>
                  <w:tcW w:w="719" w:type="pct"/>
                  <w:vMerge w:val="continue"/>
                  <w:tcBorders>
                    <w:tl2br w:val="nil"/>
                    <w:tr2bl w:val="nil"/>
                  </w:tcBorders>
                  <w:vAlign w:val="center"/>
                </w:tcPr>
                <w:p w14:paraId="0071CD6D">
                  <w:pPr>
                    <w:pStyle w:val="16"/>
                    <w:jc w:val="center"/>
                    <w:rPr>
                      <w:color w:val="auto"/>
                    </w:rPr>
                  </w:pPr>
                </w:p>
              </w:tc>
              <w:tc>
                <w:tcPr>
                  <w:tcW w:w="1218" w:type="pct"/>
                  <w:tcBorders>
                    <w:tl2br w:val="nil"/>
                    <w:tr2bl w:val="nil"/>
                  </w:tcBorders>
                  <w:vAlign w:val="center"/>
                </w:tcPr>
                <w:p w14:paraId="28E27424">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22</w:t>
                  </w:r>
                </w:p>
              </w:tc>
              <w:tc>
                <w:tcPr>
                  <w:tcW w:w="703" w:type="pct"/>
                  <w:tcBorders>
                    <w:tl2br w:val="nil"/>
                    <w:tr2bl w:val="nil"/>
                  </w:tcBorders>
                  <w:vAlign w:val="center"/>
                </w:tcPr>
                <w:p w14:paraId="128E4822">
                  <w:pPr>
                    <w:pStyle w:val="16"/>
                    <w:jc w:val="center"/>
                    <w:rPr>
                      <w:color w:val="auto"/>
                    </w:rPr>
                  </w:pPr>
                  <w:r>
                    <w:rPr>
                      <w:rFonts w:hint="eastAsia"/>
                      <w:color w:val="auto"/>
                    </w:rPr>
                    <w:t>198</w:t>
                  </w:r>
                </w:p>
              </w:tc>
              <w:tc>
                <w:tcPr>
                  <w:tcW w:w="578" w:type="pct"/>
                  <w:vMerge w:val="continue"/>
                  <w:tcBorders>
                    <w:tl2br w:val="nil"/>
                    <w:tr2bl w:val="nil"/>
                  </w:tcBorders>
                  <w:vAlign w:val="center"/>
                </w:tcPr>
                <w:p w14:paraId="7771EA45">
                  <w:pPr>
                    <w:pStyle w:val="16"/>
                    <w:jc w:val="center"/>
                    <w:rPr>
                      <w:color w:val="auto"/>
                    </w:rPr>
                  </w:pPr>
                </w:p>
              </w:tc>
              <w:tc>
                <w:tcPr>
                  <w:tcW w:w="639" w:type="pct"/>
                  <w:vMerge w:val="continue"/>
                  <w:tcBorders>
                    <w:tl2br w:val="nil"/>
                    <w:tr2bl w:val="nil"/>
                  </w:tcBorders>
                  <w:vAlign w:val="center"/>
                </w:tcPr>
                <w:p w14:paraId="68355E2D">
                  <w:pPr>
                    <w:pStyle w:val="16"/>
                    <w:jc w:val="center"/>
                    <w:rPr>
                      <w:color w:val="auto"/>
                    </w:rPr>
                  </w:pPr>
                </w:p>
              </w:tc>
              <w:tc>
                <w:tcPr>
                  <w:tcW w:w="440" w:type="pct"/>
                  <w:vMerge w:val="continue"/>
                  <w:tcBorders>
                    <w:tl2br w:val="nil"/>
                    <w:tr2bl w:val="nil"/>
                  </w:tcBorders>
                  <w:vAlign w:val="center"/>
                </w:tcPr>
                <w:p w14:paraId="626AC561">
                  <w:pPr>
                    <w:pStyle w:val="16"/>
                    <w:jc w:val="center"/>
                    <w:rPr>
                      <w:color w:val="auto"/>
                    </w:rPr>
                  </w:pPr>
                </w:p>
              </w:tc>
            </w:tr>
            <w:tr w14:paraId="7DECC9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trPr>
              <w:tc>
                <w:tcPr>
                  <w:tcW w:w="699" w:type="pct"/>
                  <w:vMerge w:val="restart"/>
                  <w:tcBorders>
                    <w:tl2br w:val="nil"/>
                    <w:tr2bl w:val="nil"/>
                  </w:tcBorders>
                  <w:vAlign w:val="center"/>
                </w:tcPr>
                <w:p w14:paraId="1A450611">
                  <w:pPr>
                    <w:pStyle w:val="16"/>
                    <w:jc w:val="center"/>
                    <w:rPr>
                      <w:color w:val="auto"/>
                    </w:rPr>
                  </w:pPr>
                  <w:r>
                    <w:rPr>
                      <w:color w:val="auto"/>
                    </w:rPr>
                    <w:t>TSP</w:t>
                  </w:r>
                </w:p>
              </w:tc>
              <w:tc>
                <w:tcPr>
                  <w:tcW w:w="719" w:type="pct"/>
                  <w:vMerge w:val="restart"/>
                  <w:tcBorders>
                    <w:tl2br w:val="nil"/>
                    <w:tr2bl w:val="nil"/>
                  </w:tcBorders>
                  <w:vAlign w:val="center"/>
                </w:tcPr>
                <w:p w14:paraId="65068600">
                  <w:pPr>
                    <w:pStyle w:val="16"/>
                    <w:jc w:val="center"/>
                    <w:rPr>
                      <w:color w:val="auto"/>
                    </w:rPr>
                  </w:pPr>
                  <w:r>
                    <w:rPr>
                      <w:rFonts w:hint="eastAsia"/>
                      <w:color w:val="auto"/>
                    </w:rPr>
                    <w:t>2#</w:t>
                  </w:r>
                </w:p>
              </w:tc>
              <w:tc>
                <w:tcPr>
                  <w:tcW w:w="1218" w:type="pct"/>
                  <w:tcBorders>
                    <w:tl2br w:val="nil"/>
                    <w:tr2bl w:val="nil"/>
                  </w:tcBorders>
                  <w:vAlign w:val="center"/>
                </w:tcPr>
                <w:p w14:paraId="464FA74F">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19~</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p>
              </w:tc>
              <w:tc>
                <w:tcPr>
                  <w:tcW w:w="703" w:type="pct"/>
                  <w:tcBorders>
                    <w:tl2br w:val="nil"/>
                    <w:tr2bl w:val="nil"/>
                  </w:tcBorders>
                  <w:vAlign w:val="center"/>
                </w:tcPr>
                <w:p w14:paraId="78D25E75">
                  <w:pPr>
                    <w:pStyle w:val="16"/>
                    <w:jc w:val="center"/>
                    <w:rPr>
                      <w:color w:val="auto"/>
                    </w:rPr>
                  </w:pPr>
                  <w:r>
                    <w:rPr>
                      <w:rFonts w:hint="eastAsia"/>
                      <w:color w:val="auto"/>
                    </w:rPr>
                    <w:t>109</w:t>
                  </w:r>
                </w:p>
              </w:tc>
              <w:tc>
                <w:tcPr>
                  <w:tcW w:w="578" w:type="pct"/>
                  <w:vMerge w:val="restart"/>
                  <w:tcBorders>
                    <w:tl2br w:val="nil"/>
                    <w:tr2bl w:val="nil"/>
                  </w:tcBorders>
                  <w:vAlign w:val="center"/>
                </w:tcPr>
                <w:p w14:paraId="397EA9C3">
                  <w:pPr>
                    <w:pStyle w:val="16"/>
                    <w:jc w:val="center"/>
                    <w:rPr>
                      <w:color w:val="auto"/>
                    </w:rPr>
                  </w:pPr>
                  <w:r>
                    <w:rPr>
                      <w:color w:val="auto"/>
                    </w:rPr>
                    <w:t>24小时平均</w:t>
                  </w:r>
                </w:p>
              </w:tc>
              <w:tc>
                <w:tcPr>
                  <w:tcW w:w="639" w:type="pct"/>
                  <w:vMerge w:val="restart"/>
                  <w:tcBorders>
                    <w:tl2br w:val="nil"/>
                    <w:tr2bl w:val="nil"/>
                  </w:tcBorders>
                  <w:vAlign w:val="center"/>
                </w:tcPr>
                <w:p w14:paraId="4B437009">
                  <w:pPr>
                    <w:pStyle w:val="16"/>
                    <w:jc w:val="center"/>
                    <w:rPr>
                      <w:color w:val="auto"/>
                    </w:rPr>
                  </w:pPr>
                  <w:r>
                    <w:rPr>
                      <w:rFonts w:hint="eastAsia"/>
                      <w:color w:val="auto"/>
                    </w:rPr>
                    <w:t>300</w:t>
                  </w:r>
                </w:p>
              </w:tc>
              <w:tc>
                <w:tcPr>
                  <w:tcW w:w="440" w:type="pct"/>
                  <w:vMerge w:val="restart"/>
                  <w:tcBorders>
                    <w:tl2br w:val="nil"/>
                    <w:tr2bl w:val="nil"/>
                  </w:tcBorders>
                  <w:vAlign w:val="center"/>
                </w:tcPr>
                <w:p w14:paraId="752DED12">
                  <w:pPr>
                    <w:pStyle w:val="16"/>
                    <w:jc w:val="center"/>
                    <w:rPr>
                      <w:color w:val="auto"/>
                    </w:rPr>
                  </w:pPr>
                  <w:r>
                    <w:rPr>
                      <w:color w:val="auto"/>
                    </w:rPr>
                    <w:t>达标</w:t>
                  </w:r>
                </w:p>
              </w:tc>
            </w:tr>
            <w:tr w14:paraId="22834D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00008D65">
                  <w:pPr>
                    <w:pStyle w:val="16"/>
                    <w:jc w:val="center"/>
                    <w:rPr>
                      <w:color w:val="auto"/>
                    </w:rPr>
                  </w:pPr>
                </w:p>
              </w:tc>
              <w:tc>
                <w:tcPr>
                  <w:tcW w:w="719" w:type="pct"/>
                  <w:vMerge w:val="continue"/>
                  <w:tcBorders>
                    <w:tl2br w:val="nil"/>
                    <w:tr2bl w:val="nil"/>
                  </w:tcBorders>
                  <w:vAlign w:val="center"/>
                </w:tcPr>
                <w:p w14:paraId="303D1610">
                  <w:pPr>
                    <w:pStyle w:val="16"/>
                    <w:jc w:val="center"/>
                    <w:rPr>
                      <w:color w:val="auto"/>
                    </w:rPr>
                  </w:pPr>
                </w:p>
              </w:tc>
              <w:tc>
                <w:tcPr>
                  <w:tcW w:w="1218" w:type="pct"/>
                  <w:tcBorders>
                    <w:tl2br w:val="nil"/>
                    <w:tr2bl w:val="nil"/>
                  </w:tcBorders>
                  <w:vAlign w:val="center"/>
                </w:tcPr>
                <w:p w14:paraId="32842A66">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p>
              </w:tc>
              <w:tc>
                <w:tcPr>
                  <w:tcW w:w="703" w:type="pct"/>
                  <w:tcBorders>
                    <w:tl2br w:val="nil"/>
                    <w:tr2bl w:val="nil"/>
                  </w:tcBorders>
                  <w:vAlign w:val="center"/>
                </w:tcPr>
                <w:p w14:paraId="135B505E">
                  <w:pPr>
                    <w:pStyle w:val="16"/>
                    <w:jc w:val="center"/>
                    <w:rPr>
                      <w:color w:val="auto"/>
                    </w:rPr>
                  </w:pPr>
                  <w:r>
                    <w:rPr>
                      <w:rFonts w:hint="eastAsia"/>
                      <w:color w:val="auto"/>
                    </w:rPr>
                    <w:t>98</w:t>
                  </w:r>
                </w:p>
              </w:tc>
              <w:tc>
                <w:tcPr>
                  <w:tcW w:w="578" w:type="pct"/>
                  <w:vMerge w:val="continue"/>
                  <w:tcBorders>
                    <w:tl2br w:val="nil"/>
                    <w:tr2bl w:val="nil"/>
                  </w:tcBorders>
                  <w:vAlign w:val="center"/>
                </w:tcPr>
                <w:p w14:paraId="3126DA4D">
                  <w:pPr>
                    <w:pStyle w:val="16"/>
                    <w:jc w:val="center"/>
                    <w:rPr>
                      <w:color w:val="auto"/>
                    </w:rPr>
                  </w:pPr>
                </w:p>
              </w:tc>
              <w:tc>
                <w:tcPr>
                  <w:tcW w:w="639" w:type="pct"/>
                  <w:vMerge w:val="continue"/>
                  <w:tcBorders>
                    <w:tl2br w:val="nil"/>
                    <w:tr2bl w:val="nil"/>
                  </w:tcBorders>
                  <w:vAlign w:val="center"/>
                </w:tcPr>
                <w:p w14:paraId="3A917FA2">
                  <w:pPr>
                    <w:pStyle w:val="16"/>
                    <w:jc w:val="center"/>
                    <w:rPr>
                      <w:color w:val="auto"/>
                    </w:rPr>
                  </w:pPr>
                </w:p>
              </w:tc>
              <w:tc>
                <w:tcPr>
                  <w:tcW w:w="440" w:type="pct"/>
                  <w:vMerge w:val="continue"/>
                  <w:tcBorders>
                    <w:tl2br w:val="nil"/>
                    <w:tr2bl w:val="nil"/>
                  </w:tcBorders>
                  <w:vAlign w:val="center"/>
                </w:tcPr>
                <w:p w14:paraId="7ADA4483">
                  <w:pPr>
                    <w:pStyle w:val="16"/>
                    <w:jc w:val="center"/>
                    <w:rPr>
                      <w:color w:val="auto"/>
                    </w:rPr>
                  </w:pPr>
                </w:p>
              </w:tc>
            </w:tr>
            <w:tr w14:paraId="11EC9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2242ECB9">
                  <w:pPr>
                    <w:pStyle w:val="16"/>
                    <w:jc w:val="center"/>
                    <w:rPr>
                      <w:color w:val="auto"/>
                    </w:rPr>
                  </w:pPr>
                </w:p>
              </w:tc>
              <w:tc>
                <w:tcPr>
                  <w:tcW w:w="719" w:type="pct"/>
                  <w:vMerge w:val="continue"/>
                  <w:tcBorders>
                    <w:tl2br w:val="nil"/>
                    <w:tr2bl w:val="nil"/>
                  </w:tcBorders>
                  <w:vAlign w:val="center"/>
                </w:tcPr>
                <w:p w14:paraId="7C802828">
                  <w:pPr>
                    <w:pStyle w:val="16"/>
                    <w:jc w:val="center"/>
                    <w:rPr>
                      <w:color w:val="auto"/>
                    </w:rPr>
                  </w:pPr>
                </w:p>
              </w:tc>
              <w:tc>
                <w:tcPr>
                  <w:tcW w:w="1218" w:type="pct"/>
                  <w:tcBorders>
                    <w:tl2br w:val="nil"/>
                    <w:tr2bl w:val="nil"/>
                  </w:tcBorders>
                  <w:vAlign w:val="center"/>
                </w:tcPr>
                <w:p w14:paraId="5B917426">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22</w:t>
                  </w:r>
                </w:p>
              </w:tc>
              <w:tc>
                <w:tcPr>
                  <w:tcW w:w="703" w:type="pct"/>
                  <w:tcBorders>
                    <w:tl2br w:val="nil"/>
                    <w:tr2bl w:val="nil"/>
                  </w:tcBorders>
                  <w:vAlign w:val="center"/>
                </w:tcPr>
                <w:p w14:paraId="7621CC1D">
                  <w:pPr>
                    <w:pStyle w:val="16"/>
                    <w:jc w:val="center"/>
                    <w:rPr>
                      <w:color w:val="auto"/>
                    </w:rPr>
                  </w:pPr>
                  <w:r>
                    <w:rPr>
                      <w:rFonts w:hint="eastAsia"/>
                      <w:color w:val="auto"/>
                    </w:rPr>
                    <w:t>105</w:t>
                  </w:r>
                </w:p>
              </w:tc>
              <w:tc>
                <w:tcPr>
                  <w:tcW w:w="578" w:type="pct"/>
                  <w:vMerge w:val="continue"/>
                  <w:tcBorders>
                    <w:tl2br w:val="nil"/>
                    <w:tr2bl w:val="nil"/>
                  </w:tcBorders>
                  <w:vAlign w:val="center"/>
                </w:tcPr>
                <w:p w14:paraId="09A06D79">
                  <w:pPr>
                    <w:pStyle w:val="16"/>
                    <w:jc w:val="center"/>
                    <w:rPr>
                      <w:color w:val="auto"/>
                    </w:rPr>
                  </w:pPr>
                </w:p>
              </w:tc>
              <w:tc>
                <w:tcPr>
                  <w:tcW w:w="639" w:type="pct"/>
                  <w:vMerge w:val="continue"/>
                  <w:tcBorders>
                    <w:tl2br w:val="nil"/>
                    <w:tr2bl w:val="nil"/>
                  </w:tcBorders>
                  <w:vAlign w:val="center"/>
                </w:tcPr>
                <w:p w14:paraId="6A947506">
                  <w:pPr>
                    <w:pStyle w:val="16"/>
                    <w:jc w:val="center"/>
                    <w:rPr>
                      <w:color w:val="auto"/>
                    </w:rPr>
                  </w:pPr>
                </w:p>
              </w:tc>
              <w:tc>
                <w:tcPr>
                  <w:tcW w:w="440" w:type="pct"/>
                  <w:vMerge w:val="continue"/>
                  <w:tcBorders>
                    <w:tl2br w:val="nil"/>
                    <w:tr2bl w:val="nil"/>
                  </w:tcBorders>
                  <w:vAlign w:val="center"/>
                </w:tcPr>
                <w:p w14:paraId="5C5A5E9D">
                  <w:pPr>
                    <w:pStyle w:val="16"/>
                    <w:jc w:val="center"/>
                    <w:rPr>
                      <w:color w:val="auto"/>
                    </w:rPr>
                  </w:pPr>
                </w:p>
              </w:tc>
            </w:tr>
            <w:tr w14:paraId="5CE68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trPr>
              <w:tc>
                <w:tcPr>
                  <w:tcW w:w="699" w:type="pct"/>
                  <w:vMerge w:val="restart"/>
                  <w:tcBorders>
                    <w:tl2br w:val="nil"/>
                    <w:tr2bl w:val="nil"/>
                  </w:tcBorders>
                  <w:vAlign w:val="center"/>
                </w:tcPr>
                <w:p w14:paraId="3D12AD9D">
                  <w:pPr>
                    <w:pStyle w:val="16"/>
                    <w:jc w:val="center"/>
                    <w:rPr>
                      <w:color w:val="auto"/>
                    </w:rPr>
                  </w:pPr>
                  <w:r>
                    <w:rPr>
                      <w:color w:val="auto"/>
                    </w:rPr>
                    <w:t>TSP</w:t>
                  </w:r>
                </w:p>
              </w:tc>
              <w:tc>
                <w:tcPr>
                  <w:tcW w:w="719" w:type="pct"/>
                  <w:vMerge w:val="restart"/>
                  <w:tcBorders>
                    <w:tl2br w:val="nil"/>
                    <w:tr2bl w:val="nil"/>
                  </w:tcBorders>
                  <w:vAlign w:val="center"/>
                </w:tcPr>
                <w:p w14:paraId="109B28CB">
                  <w:pPr>
                    <w:pStyle w:val="16"/>
                    <w:jc w:val="center"/>
                    <w:rPr>
                      <w:color w:val="auto"/>
                    </w:rPr>
                  </w:pPr>
                  <w:r>
                    <w:rPr>
                      <w:rFonts w:hint="eastAsia"/>
                      <w:color w:val="auto"/>
                    </w:rPr>
                    <w:t>3#</w:t>
                  </w:r>
                </w:p>
              </w:tc>
              <w:tc>
                <w:tcPr>
                  <w:tcW w:w="1218" w:type="pct"/>
                  <w:tcBorders>
                    <w:tl2br w:val="nil"/>
                    <w:tr2bl w:val="nil"/>
                  </w:tcBorders>
                  <w:vAlign w:val="center"/>
                </w:tcPr>
                <w:p w14:paraId="2B78B589">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19~</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p>
              </w:tc>
              <w:tc>
                <w:tcPr>
                  <w:tcW w:w="703" w:type="pct"/>
                  <w:tcBorders>
                    <w:tl2br w:val="nil"/>
                    <w:tr2bl w:val="nil"/>
                  </w:tcBorders>
                  <w:vAlign w:val="center"/>
                </w:tcPr>
                <w:p w14:paraId="50D90EAD">
                  <w:pPr>
                    <w:pStyle w:val="16"/>
                    <w:jc w:val="center"/>
                    <w:rPr>
                      <w:color w:val="auto"/>
                    </w:rPr>
                  </w:pPr>
                  <w:r>
                    <w:rPr>
                      <w:rFonts w:hint="eastAsia"/>
                      <w:color w:val="auto"/>
                    </w:rPr>
                    <w:t>132</w:t>
                  </w:r>
                </w:p>
              </w:tc>
              <w:tc>
                <w:tcPr>
                  <w:tcW w:w="578" w:type="pct"/>
                  <w:vMerge w:val="restart"/>
                  <w:tcBorders>
                    <w:tl2br w:val="nil"/>
                    <w:tr2bl w:val="nil"/>
                  </w:tcBorders>
                  <w:vAlign w:val="center"/>
                </w:tcPr>
                <w:p w14:paraId="3214EEBF">
                  <w:pPr>
                    <w:pStyle w:val="16"/>
                    <w:jc w:val="center"/>
                    <w:rPr>
                      <w:color w:val="auto"/>
                    </w:rPr>
                  </w:pPr>
                  <w:r>
                    <w:rPr>
                      <w:color w:val="auto"/>
                    </w:rPr>
                    <w:t>24小时平均</w:t>
                  </w:r>
                </w:p>
              </w:tc>
              <w:tc>
                <w:tcPr>
                  <w:tcW w:w="639" w:type="pct"/>
                  <w:vMerge w:val="restart"/>
                  <w:tcBorders>
                    <w:tl2br w:val="nil"/>
                    <w:tr2bl w:val="nil"/>
                  </w:tcBorders>
                  <w:vAlign w:val="center"/>
                </w:tcPr>
                <w:p w14:paraId="6817DE71">
                  <w:pPr>
                    <w:pStyle w:val="16"/>
                    <w:jc w:val="center"/>
                    <w:rPr>
                      <w:color w:val="auto"/>
                    </w:rPr>
                  </w:pPr>
                  <w:r>
                    <w:rPr>
                      <w:rFonts w:hint="eastAsia"/>
                      <w:color w:val="auto"/>
                    </w:rPr>
                    <w:t>300</w:t>
                  </w:r>
                </w:p>
              </w:tc>
              <w:tc>
                <w:tcPr>
                  <w:tcW w:w="440" w:type="pct"/>
                  <w:vMerge w:val="restart"/>
                  <w:tcBorders>
                    <w:tl2br w:val="nil"/>
                    <w:tr2bl w:val="nil"/>
                  </w:tcBorders>
                  <w:vAlign w:val="center"/>
                </w:tcPr>
                <w:p w14:paraId="76BD72B5">
                  <w:pPr>
                    <w:pStyle w:val="16"/>
                    <w:jc w:val="center"/>
                    <w:rPr>
                      <w:color w:val="auto"/>
                    </w:rPr>
                  </w:pPr>
                  <w:r>
                    <w:rPr>
                      <w:color w:val="auto"/>
                    </w:rPr>
                    <w:t>达标</w:t>
                  </w:r>
                </w:p>
              </w:tc>
            </w:tr>
            <w:tr w14:paraId="451A4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13920A64">
                  <w:pPr>
                    <w:pStyle w:val="16"/>
                    <w:jc w:val="center"/>
                    <w:rPr>
                      <w:color w:val="auto"/>
                    </w:rPr>
                  </w:pPr>
                </w:p>
              </w:tc>
              <w:tc>
                <w:tcPr>
                  <w:tcW w:w="719" w:type="pct"/>
                  <w:vMerge w:val="continue"/>
                  <w:tcBorders>
                    <w:tl2br w:val="nil"/>
                    <w:tr2bl w:val="nil"/>
                  </w:tcBorders>
                  <w:vAlign w:val="center"/>
                </w:tcPr>
                <w:p w14:paraId="64A56043">
                  <w:pPr>
                    <w:pStyle w:val="16"/>
                    <w:jc w:val="center"/>
                    <w:rPr>
                      <w:color w:val="auto"/>
                    </w:rPr>
                  </w:pPr>
                </w:p>
              </w:tc>
              <w:tc>
                <w:tcPr>
                  <w:tcW w:w="1218" w:type="pct"/>
                  <w:tcBorders>
                    <w:tl2br w:val="nil"/>
                    <w:tr2bl w:val="nil"/>
                  </w:tcBorders>
                  <w:vAlign w:val="center"/>
                </w:tcPr>
                <w:p w14:paraId="376AE48C">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20~</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p>
              </w:tc>
              <w:tc>
                <w:tcPr>
                  <w:tcW w:w="703" w:type="pct"/>
                  <w:tcBorders>
                    <w:tl2br w:val="nil"/>
                    <w:tr2bl w:val="nil"/>
                  </w:tcBorders>
                  <w:vAlign w:val="center"/>
                </w:tcPr>
                <w:p w14:paraId="1ACEB284">
                  <w:pPr>
                    <w:pStyle w:val="16"/>
                    <w:jc w:val="center"/>
                    <w:rPr>
                      <w:color w:val="auto"/>
                    </w:rPr>
                  </w:pPr>
                  <w:r>
                    <w:rPr>
                      <w:rFonts w:hint="eastAsia"/>
                      <w:color w:val="auto"/>
                    </w:rPr>
                    <w:t>144</w:t>
                  </w:r>
                </w:p>
              </w:tc>
              <w:tc>
                <w:tcPr>
                  <w:tcW w:w="578" w:type="pct"/>
                  <w:vMerge w:val="continue"/>
                  <w:tcBorders>
                    <w:tl2br w:val="nil"/>
                    <w:tr2bl w:val="nil"/>
                  </w:tcBorders>
                  <w:vAlign w:val="center"/>
                </w:tcPr>
                <w:p w14:paraId="06A33BC3">
                  <w:pPr>
                    <w:pStyle w:val="16"/>
                    <w:jc w:val="center"/>
                    <w:rPr>
                      <w:color w:val="auto"/>
                    </w:rPr>
                  </w:pPr>
                </w:p>
              </w:tc>
              <w:tc>
                <w:tcPr>
                  <w:tcW w:w="639" w:type="pct"/>
                  <w:vMerge w:val="continue"/>
                  <w:tcBorders>
                    <w:tl2br w:val="nil"/>
                    <w:tr2bl w:val="nil"/>
                  </w:tcBorders>
                  <w:vAlign w:val="center"/>
                </w:tcPr>
                <w:p w14:paraId="3F385818">
                  <w:pPr>
                    <w:pStyle w:val="16"/>
                    <w:jc w:val="center"/>
                    <w:rPr>
                      <w:color w:val="auto"/>
                    </w:rPr>
                  </w:pPr>
                </w:p>
              </w:tc>
              <w:tc>
                <w:tcPr>
                  <w:tcW w:w="440" w:type="pct"/>
                  <w:vMerge w:val="continue"/>
                  <w:tcBorders>
                    <w:tl2br w:val="nil"/>
                    <w:tr2bl w:val="nil"/>
                  </w:tcBorders>
                  <w:vAlign w:val="center"/>
                </w:tcPr>
                <w:p w14:paraId="6F9869A8">
                  <w:pPr>
                    <w:pStyle w:val="16"/>
                    <w:jc w:val="center"/>
                    <w:rPr>
                      <w:color w:val="auto"/>
                    </w:rPr>
                  </w:pPr>
                </w:p>
              </w:tc>
            </w:tr>
            <w:tr w14:paraId="6FA6E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99" w:type="pct"/>
                  <w:vMerge w:val="continue"/>
                  <w:tcBorders>
                    <w:tl2br w:val="nil"/>
                    <w:tr2bl w:val="nil"/>
                  </w:tcBorders>
                  <w:vAlign w:val="center"/>
                </w:tcPr>
                <w:p w14:paraId="1B8FD39E">
                  <w:pPr>
                    <w:pStyle w:val="16"/>
                    <w:jc w:val="center"/>
                    <w:rPr>
                      <w:color w:val="auto"/>
                    </w:rPr>
                  </w:pPr>
                </w:p>
              </w:tc>
              <w:tc>
                <w:tcPr>
                  <w:tcW w:w="719" w:type="pct"/>
                  <w:vMerge w:val="continue"/>
                  <w:tcBorders>
                    <w:tl2br w:val="nil"/>
                    <w:tr2bl w:val="nil"/>
                  </w:tcBorders>
                  <w:vAlign w:val="center"/>
                </w:tcPr>
                <w:p w14:paraId="77B605B3">
                  <w:pPr>
                    <w:pStyle w:val="16"/>
                    <w:jc w:val="center"/>
                    <w:rPr>
                      <w:color w:val="auto"/>
                    </w:rPr>
                  </w:pPr>
                </w:p>
              </w:tc>
              <w:tc>
                <w:tcPr>
                  <w:tcW w:w="1218" w:type="pct"/>
                  <w:tcBorders>
                    <w:tl2br w:val="nil"/>
                    <w:tr2bl w:val="nil"/>
                  </w:tcBorders>
                  <w:vAlign w:val="center"/>
                </w:tcPr>
                <w:p w14:paraId="1D0591CD">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21~</w:t>
                  </w: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22</w:t>
                  </w:r>
                </w:p>
              </w:tc>
              <w:tc>
                <w:tcPr>
                  <w:tcW w:w="703" w:type="pct"/>
                  <w:tcBorders>
                    <w:tl2br w:val="nil"/>
                    <w:tr2bl w:val="nil"/>
                  </w:tcBorders>
                  <w:vAlign w:val="center"/>
                </w:tcPr>
                <w:p w14:paraId="79B71CFE">
                  <w:pPr>
                    <w:pStyle w:val="16"/>
                    <w:jc w:val="center"/>
                    <w:rPr>
                      <w:color w:val="auto"/>
                    </w:rPr>
                  </w:pPr>
                  <w:r>
                    <w:rPr>
                      <w:rFonts w:hint="eastAsia"/>
                      <w:color w:val="auto"/>
                    </w:rPr>
                    <w:t>146</w:t>
                  </w:r>
                </w:p>
              </w:tc>
              <w:tc>
                <w:tcPr>
                  <w:tcW w:w="578" w:type="pct"/>
                  <w:vMerge w:val="continue"/>
                  <w:tcBorders>
                    <w:tl2br w:val="nil"/>
                    <w:tr2bl w:val="nil"/>
                  </w:tcBorders>
                  <w:vAlign w:val="center"/>
                </w:tcPr>
                <w:p w14:paraId="00E02CF8">
                  <w:pPr>
                    <w:pStyle w:val="16"/>
                    <w:jc w:val="center"/>
                    <w:rPr>
                      <w:color w:val="auto"/>
                    </w:rPr>
                  </w:pPr>
                </w:p>
              </w:tc>
              <w:tc>
                <w:tcPr>
                  <w:tcW w:w="639" w:type="pct"/>
                  <w:vMerge w:val="continue"/>
                  <w:tcBorders>
                    <w:tl2br w:val="nil"/>
                    <w:tr2bl w:val="nil"/>
                  </w:tcBorders>
                  <w:vAlign w:val="center"/>
                </w:tcPr>
                <w:p w14:paraId="3329E0C4">
                  <w:pPr>
                    <w:pStyle w:val="16"/>
                    <w:jc w:val="center"/>
                    <w:rPr>
                      <w:color w:val="auto"/>
                    </w:rPr>
                  </w:pPr>
                </w:p>
              </w:tc>
              <w:tc>
                <w:tcPr>
                  <w:tcW w:w="440" w:type="pct"/>
                  <w:vMerge w:val="continue"/>
                  <w:tcBorders>
                    <w:tl2br w:val="nil"/>
                    <w:tr2bl w:val="nil"/>
                  </w:tcBorders>
                  <w:vAlign w:val="center"/>
                </w:tcPr>
                <w:p w14:paraId="68A07B4B">
                  <w:pPr>
                    <w:pStyle w:val="16"/>
                    <w:jc w:val="center"/>
                    <w:rPr>
                      <w:color w:val="auto"/>
                    </w:rPr>
                  </w:pPr>
                </w:p>
              </w:tc>
            </w:tr>
          </w:tbl>
          <w:p w14:paraId="2EBB6783">
            <w:pPr>
              <w:ind w:firstLine="480"/>
              <w:rPr>
                <w:color w:val="auto"/>
              </w:rPr>
            </w:pPr>
          </w:p>
          <w:p w14:paraId="71A5DB1A">
            <w:pPr>
              <w:ind w:firstLine="480"/>
              <w:rPr>
                <w:color w:val="auto"/>
              </w:rPr>
            </w:pPr>
            <w:r>
              <w:rPr>
                <w:color w:val="auto"/>
              </w:rPr>
              <w:t>由表3-</w:t>
            </w:r>
            <w:r>
              <w:rPr>
                <w:rFonts w:hint="eastAsia"/>
                <w:color w:val="auto"/>
              </w:rPr>
              <w:t>1</w:t>
            </w:r>
            <w:r>
              <w:rPr>
                <w:color w:val="auto"/>
              </w:rPr>
              <w:t>监测结果统计可知，本项目所在环境空气评价区域内TSP的浓度值达到《环境空气质量标准》（GB3095-20</w:t>
            </w:r>
            <w:r>
              <w:rPr>
                <w:rFonts w:hint="eastAsia"/>
                <w:color w:val="auto"/>
              </w:rPr>
              <w:t>26</w:t>
            </w:r>
            <w:r>
              <w:rPr>
                <w:color w:val="auto"/>
              </w:rPr>
              <w:t>）表2中二级浓度限值要求。</w:t>
            </w:r>
          </w:p>
          <w:p w14:paraId="02D35E79">
            <w:pPr>
              <w:ind w:firstLine="480"/>
              <w:rPr>
                <w:color w:val="auto"/>
              </w:rPr>
            </w:pPr>
            <w:r>
              <w:rPr>
                <w:color w:val="auto"/>
              </w:rPr>
              <w:t>项目所在区域大气环境质量现状达标。</w:t>
            </w:r>
          </w:p>
          <w:p w14:paraId="01DBFC56">
            <w:pPr>
              <w:ind w:firstLine="482"/>
              <w:rPr>
                <w:b/>
                <w:bCs/>
                <w:color w:val="auto"/>
              </w:rPr>
            </w:pPr>
            <w:r>
              <w:rPr>
                <w:rFonts w:hint="eastAsia"/>
                <w:b/>
                <w:bCs/>
                <w:color w:val="auto"/>
              </w:rPr>
              <w:t>5、</w:t>
            </w:r>
            <w:r>
              <w:rPr>
                <w:b/>
                <w:bCs/>
                <w:color w:val="auto"/>
              </w:rPr>
              <w:t>地表水环境质量</w:t>
            </w:r>
          </w:p>
          <w:p w14:paraId="1CC33807">
            <w:pPr>
              <w:ind w:firstLine="482"/>
              <w:rPr>
                <w:b/>
                <w:bCs/>
                <w:color w:val="auto"/>
              </w:rPr>
            </w:pPr>
            <w:r>
              <w:rPr>
                <w:rFonts w:hint="eastAsia"/>
                <w:b/>
                <w:bCs/>
                <w:color w:val="auto"/>
              </w:rPr>
              <w:t>（1）主管部门公布数据</w:t>
            </w:r>
          </w:p>
          <w:p w14:paraId="6F6C2172">
            <w:pPr>
              <w:ind w:firstLine="480"/>
              <w:rPr>
                <w:color w:val="auto"/>
              </w:rPr>
            </w:pPr>
            <w:r>
              <w:rPr>
                <w:color w:val="auto"/>
              </w:rPr>
              <w:t>项目所在区域属于</w:t>
            </w:r>
            <w:r>
              <w:rPr>
                <w:rFonts w:hint="eastAsia"/>
                <w:color w:val="auto"/>
              </w:rPr>
              <w:t>渠江</w:t>
            </w:r>
            <w:r>
              <w:rPr>
                <w:color w:val="auto"/>
              </w:rPr>
              <w:t>流域，本评价收集了巴中市生态环境局公示的《2024巴中市生态环境状况公报》</w:t>
            </w:r>
            <w:r>
              <w:rPr>
                <w:rFonts w:hint="eastAsia"/>
                <w:color w:val="auto"/>
              </w:rPr>
              <w:t>可知：2024年，巴河总体水质为优，10个国省控断面和2个入境断面均达到或优于Ⅲ类水质。6个国控断面I-Ⅱ类水质占比100%，4个省控断面I-Ⅱ类水质占比75%，仅徐家河断面水质为Ⅲ类。与上年相比，巴河总体水质不变，保持为优，I-Ⅲ类水质占比100%，各断面水质类别均无明显变化。各断面频次达标率均保持为100%。</w:t>
            </w:r>
          </w:p>
          <w:p w14:paraId="224BF7B7">
            <w:pPr>
              <w:ind w:firstLine="0" w:firstLineChars="0"/>
              <w:jc w:val="center"/>
              <w:rPr>
                <w:b/>
                <w:bCs/>
                <w:color w:val="auto"/>
              </w:rPr>
            </w:pPr>
            <w:r>
              <w:rPr>
                <w:color w:val="auto"/>
              </w:rPr>
              <w:drawing>
                <wp:inline distT="0" distB="0" distL="114300" distR="114300">
                  <wp:extent cx="4869815" cy="3298190"/>
                  <wp:effectExtent l="0" t="0" r="6985" b="3810"/>
                  <wp:docPr id="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0"/>
                          <pic:cNvPicPr>
                            <a:picLocks noChangeAspect="1"/>
                          </pic:cNvPicPr>
                        </pic:nvPicPr>
                        <pic:blipFill>
                          <a:blip r:embed="rId22"/>
                          <a:stretch>
                            <a:fillRect/>
                          </a:stretch>
                        </pic:blipFill>
                        <pic:spPr>
                          <a:xfrm>
                            <a:off x="0" y="0"/>
                            <a:ext cx="4869815" cy="3298190"/>
                          </a:xfrm>
                          <a:prstGeom prst="rect">
                            <a:avLst/>
                          </a:prstGeom>
                          <a:noFill/>
                          <a:ln>
                            <a:noFill/>
                          </a:ln>
                        </pic:spPr>
                      </pic:pic>
                    </a:graphicData>
                  </a:graphic>
                </wp:inline>
              </w:drawing>
            </w:r>
          </w:p>
          <w:p w14:paraId="576AE9A4">
            <w:pPr>
              <w:ind w:firstLine="480"/>
              <w:rPr>
                <w:color w:val="auto"/>
              </w:rPr>
            </w:pPr>
            <w:r>
              <w:rPr>
                <w:color w:val="auto"/>
              </w:rPr>
              <w:t>根据上表可知，</w:t>
            </w:r>
            <w:r>
              <w:rPr>
                <w:rFonts w:hint="eastAsia"/>
                <w:color w:val="auto"/>
              </w:rPr>
              <w:t>巴中市巴河</w:t>
            </w:r>
            <w:r>
              <w:rPr>
                <w:color w:val="auto"/>
              </w:rPr>
              <w:t>相关断面的地表水水质均达到《地表水环境质量标准》</w:t>
            </w:r>
            <w:r>
              <w:rPr>
                <w:rFonts w:hint="eastAsia"/>
                <w:color w:val="auto"/>
              </w:rPr>
              <w:t>（GB3838-2002）</w:t>
            </w:r>
            <w:r>
              <w:rPr>
                <w:color w:val="auto"/>
              </w:rPr>
              <w:t>III类水质标准要求。</w:t>
            </w:r>
          </w:p>
          <w:p w14:paraId="4AF9414C">
            <w:pPr>
              <w:ind w:firstLine="482"/>
              <w:rPr>
                <w:b/>
                <w:bCs/>
                <w:color w:val="auto"/>
              </w:rPr>
            </w:pPr>
            <w:r>
              <w:rPr>
                <w:rFonts w:hint="eastAsia"/>
                <w:b/>
                <w:bCs/>
                <w:color w:val="auto"/>
              </w:rPr>
              <w:t>（2）补充监测</w:t>
            </w:r>
          </w:p>
          <w:p w14:paraId="0D1B6017">
            <w:pPr>
              <w:ind w:firstLine="482"/>
              <w:rPr>
                <w:b/>
                <w:bCs/>
                <w:color w:val="auto"/>
              </w:rPr>
            </w:pPr>
            <w:r>
              <w:rPr>
                <w:rFonts w:hint="eastAsia"/>
                <w:b/>
                <w:bCs/>
                <w:color w:val="auto"/>
              </w:rPr>
              <w:t>1）监测点位</w:t>
            </w:r>
          </w:p>
          <w:p w14:paraId="3B922154">
            <w:pPr>
              <w:ind w:firstLine="480"/>
              <w:rPr>
                <w:color w:val="auto"/>
              </w:rPr>
            </w:pPr>
            <w:r>
              <w:rPr>
                <w:color w:val="auto"/>
              </w:rPr>
              <w:t>另外，</w:t>
            </w:r>
            <w:r>
              <w:rPr>
                <w:rFonts w:hint="eastAsia"/>
                <w:color w:val="auto"/>
              </w:rPr>
              <w:t>本项目</w:t>
            </w:r>
            <w:r>
              <w:rPr>
                <w:color w:val="auto"/>
              </w:rPr>
              <w:t>委托四川创标环境检测有限公司和四川恒宇环境节能检测有限公司</w:t>
            </w:r>
            <w:r>
              <w:rPr>
                <w:rFonts w:hint="eastAsia"/>
                <w:color w:val="auto"/>
              </w:rPr>
              <w:t>分别</w:t>
            </w:r>
            <w:r>
              <w:rPr>
                <w:color w:val="auto"/>
              </w:rPr>
              <w:t>于2025年8月19日~20日、11月14日~16日对通江县铁佛镇移民安置区饮水官网及灌溉水利设施建设工程</w:t>
            </w:r>
            <w:r>
              <w:rPr>
                <w:rFonts w:hint="eastAsia"/>
                <w:color w:val="auto"/>
              </w:rPr>
              <w:t>区域地表水环境</w:t>
            </w:r>
            <w:r>
              <w:rPr>
                <w:color w:val="auto"/>
              </w:rPr>
              <w:t>进行现场监测。监测点位涉及王家河水库取水口、流里河水库取水口和澌溪沟水库取水口。</w:t>
            </w:r>
          </w:p>
          <w:p w14:paraId="70156ACE">
            <w:pPr>
              <w:ind w:firstLine="480"/>
              <w:rPr>
                <w:color w:val="auto"/>
              </w:rPr>
            </w:pPr>
            <w:r>
              <w:rPr>
                <w:color w:val="auto"/>
              </w:rPr>
              <w:t>具体的监测</w:t>
            </w:r>
            <w:r>
              <w:rPr>
                <w:rFonts w:hint="eastAsia"/>
                <w:color w:val="auto"/>
              </w:rPr>
              <w:t>点位</w:t>
            </w:r>
            <w:r>
              <w:rPr>
                <w:color w:val="auto"/>
              </w:rPr>
              <w:t>见</w:t>
            </w:r>
            <w:r>
              <w:rPr>
                <w:color w:val="auto"/>
              </w:rPr>
              <w:fldChar w:fldCharType="begin"/>
            </w:r>
            <w:r>
              <w:rPr>
                <w:color w:val="auto"/>
              </w:rPr>
              <w:instrText xml:space="preserve"> REF _Ref19781 \h  \* MERGEFORMAT </w:instrText>
            </w:r>
            <w:r>
              <w:rPr>
                <w:color w:val="auto"/>
              </w:rPr>
              <w:fldChar w:fldCharType="separate"/>
            </w:r>
            <w:r>
              <w:rPr>
                <w:color w:val="auto"/>
              </w:rPr>
              <w:t>表</w:t>
            </w:r>
            <w:r>
              <w:rPr>
                <w:rFonts w:hint="eastAsia"/>
                <w:color w:val="auto"/>
              </w:rPr>
              <w:t>3</w:t>
            </w:r>
            <w:r>
              <w:rPr>
                <w:color w:val="auto"/>
              </w:rPr>
              <w:fldChar w:fldCharType="end"/>
            </w:r>
            <w:r>
              <w:rPr>
                <w:rFonts w:hint="eastAsia"/>
                <w:color w:val="auto"/>
              </w:rPr>
              <w:t>-2</w:t>
            </w:r>
            <w:r>
              <w:rPr>
                <w:color w:val="auto"/>
              </w:rPr>
              <w:t>。</w:t>
            </w:r>
          </w:p>
          <w:p w14:paraId="00AF5222">
            <w:pPr>
              <w:pStyle w:val="17"/>
              <w:rPr>
                <w:rFonts w:hint="default"/>
                <w:color w:val="auto"/>
              </w:rPr>
            </w:pPr>
            <w:bookmarkStart w:id="17" w:name="_Ref19781"/>
            <w:bookmarkStart w:id="18" w:name="_Ref529956422"/>
            <w:r>
              <w:rPr>
                <w:color w:val="auto"/>
              </w:rPr>
              <w:t>表</w:t>
            </w:r>
            <w:bookmarkEnd w:id="17"/>
            <w:r>
              <w:rPr>
                <w:color w:val="auto"/>
              </w:rPr>
              <w:t>3-2 水环境监测内容</w:t>
            </w:r>
            <w:bookmarkEnd w:id="18"/>
          </w:p>
          <w:tbl>
            <w:tblPr>
              <w:tblStyle w:val="12"/>
              <w:tblW w:w="819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49"/>
              <w:gridCol w:w="1354"/>
              <w:gridCol w:w="2126"/>
              <w:gridCol w:w="2665"/>
            </w:tblGrid>
            <w:tr w14:paraId="6A5F6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12" w:hRule="atLeast"/>
              </w:trPr>
              <w:tc>
                <w:tcPr>
                  <w:tcW w:w="1250" w:type="pct"/>
                  <w:vMerge w:val="restart"/>
                  <w:tcBorders>
                    <w:tl2br w:val="nil"/>
                    <w:tr2bl w:val="nil"/>
                  </w:tcBorders>
                  <w:vAlign w:val="center"/>
                </w:tcPr>
                <w:p w14:paraId="60EE880A">
                  <w:pPr>
                    <w:pStyle w:val="16"/>
                    <w:jc w:val="center"/>
                    <w:rPr>
                      <w:color w:val="auto"/>
                    </w:rPr>
                  </w:pPr>
                  <w:r>
                    <w:rPr>
                      <w:rFonts w:hint="eastAsia"/>
                      <w:color w:val="auto"/>
                    </w:rPr>
                    <w:t>点位</w:t>
                  </w:r>
                </w:p>
              </w:tc>
              <w:tc>
                <w:tcPr>
                  <w:tcW w:w="826" w:type="pct"/>
                  <w:vMerge w:val="restart"/>
                  <w:tcBorders>
                    <w:tl2br w:val="nil"/>
                    <w:tr2bl w:val="nil"/>
                  </w:tcBorders>
                  <w:vAlign w:val="center"/>
                </w:tcPr>
                <w:p w14:paraId="39E5CF7C">
                  <w:pPr>
                    <w:pStyle w:val="16"/>
                    <w:jc w:val="center"/>
                    <w:rPr>
                      <w:color w:val="auto"/>
                    </w:rPr>
                  </w:pPr>
                  <w:r>
                    <w:rPr>
                      <w:rFonts w:hint="eastAsia"/>
                      <w:color w:val="auto"/>
                    </w:rPr>
                    <w:t>采样断面</w:t>
                  </w:r>
                </w:p>
              </w:tc>
              <w:tc>
                <w:tcPr>
                  <w:tcW w:w="1297" w:type="pct"/>
                  <w:vMerge w:val="restart"/>
                  <w:tcBorders>
                    <w:tl2br w:val="nil"/>
                    <w:tr2bl w:val="nil"/>
                  </w:tcBorders>
                  <w:vAlign w:val="center"/>
                </w:tcPr>
                <w:p w14:paraId="4055A3E9">
                  <w:pPr>
                    <w:pStyle w:val="16"/>
                    <w:jc w:val="center"/>
                    <w:rPr>
                      <w:color w:val="auto"/>
                    </w:rPr>
                  </w:pPr>
                  <w:r>
                    <w:rPr>
                      <w:rFonts w:hint="eastAsia"/>
                      <w:color w:val="auto"/>
                    </w:rPr>
                    <w:t>监测断面位置</w:t>
                  </w:r>
                </w:p>
              </w:tc>
              <w:tc>
                <w:tcPr>
                  <w:tcW w:w="1626" w:type="pct"/>
                  <w:vMerge w:val="restart"/>
                  <w:tcBorders>
                    <w:tl2br w:val="nil"/>
                    <w:tr2bl w:val="nil"/>
                  </w:tcBorders>
                  <w:vAlign w:val="center"/>
                </w:tcPr>
                <w:p w14:paraId="307DEFA5">
                  <w:pPr>
                    <w:pStyle w:val="16"/>
                    <w:jc w:val="center"/>
                    <w:rPr>
                      <w:color w:val="auto"/>
                    </w:rPr>
                  </w:pPr>
                  <w:r>
                    <w:rPr>
                      <w:rFonts w:hint="eastAsia"/>
                      <w:color w:val="auto"/>
                    </w:rPr>
                    <w:t>监测频次</w:t>
                  </w:r>
                </w:p>
              </w:tc>
            </w:tr>
            <w:tr w14:paraId="4512B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250" w:type="pct"/>
                  <w:vMerge w:val="continue"/>
                  <w:tcBorders>
                    <w:tl2br w:val="nil"/>
                    <w:tr2bl w:val="nil"/>
                  </w:tcBorders>
                  <w:vAlign w:val="center"/>
                </w:tcPr>
                <w:p w14:paraId="69783282">
                  <w:pPr>
                    <w:pStyle w:val="16"/>
                    <w:jc w:val="center"/>
                    <w:rPr>
                      <w:color w:val="auto"/>
                    </w:rPr>
                  </w:pPr>
                </w:p>
              </w:tc>
              <w:tc>
                <w:tcPr>
                  <w:tcW w:w="826" w:type="pct"/>
                  <w:vMerge w:val="continue"/>
                  <w:tcBorders>
                    <w:tl2br w:val="nil"/>
                    <w:tr2bl w:val="nil"/>
                  </w:tcBorders>
                  <w:vAlign w:val="center"/>
                </w:tcPr>
                <w:p w14:paraId="433684FC">
                  <w:pPr>
                    <w:pStyle w:val="16"/>
                    <w:jc w:val="center"/>
                    <w:rPr>
                      <w:color w:val="auto"/>
                    </w:rPr>
                  </w:pPr>
                </w:p>
              </w:tc>
              <w:tc>
                <w:tcPr>
                  <w:tcW w:w="1297" w:type="pct"/>
                  <w:vMerge w:val="continue"/>
                  <w:tcBorders>
                    <w:tl2br w:val="nil"/>
                    <w:tr2bl w:val="nil"/>
                  </w:tcBorders>
                  <w:vAlign w:val="center"/>
                </w:tcPr>
                <w:p w14:paraId="1D9896A2">
                  <w:pPr>
                    <w:pStyle w:val="16"/>
                    <w:jc w:val="center"/>
                    <w:rPr>
                      <w:color w:val="auto"/>
                    </w:rPr>
                  </w:pPr>
                </w:p>
              </w:tc>
              <w:tc>
                <w:tcPr>
                  <w:tcW w:w="1626" w:type="pct"/>
                  <w:vMerge w:val="continue"/>
                  <w:tcBorders>
                    <w:tl2br w:val="nil"/>
                    <w:tr2bl w:val="nil"/>
                  </w:tcBorders>
                  <w:vAlign w:val="center"/>
                </w:tcPr>
                <w:p w14:paraId="01D78B97">
                  <w:pPr>
                    <w:pStyle w:val="16"/>
                    <w:jc w:val="center"/>
                    <w:rPr>
                      <w:color w:val="auto"/>
                    </w:rPr>
                  </w:pPr>
                </w:p>
              </w:tc>
            </w:tr>
            <w:tr w14:paraId="639F1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0" w:type="pct"/>
                  <w:tcBorders>
                    <w:tl2br w:val="nil"/>
                    <w:tr2bl w:val="nil"/>
                  </w:tcBorders>
                  <w:vAlign w:val="center"/>
                </w:tcPr>
                <w:p w14:paraId="7B3458BA">
                  <w:pPr>
                    <w:pStyle w:val="16"/>
                    <w:jc w:val="center"/>
                    <w:rPr>
                      <w:color w:val="auto"/>
                    </w:rPr>
                  </w:pPr>
                  <w:r>
                    <w:rPr>
                      <w:rFonts w:hint="eastAsia"/>
                      <w:color w:val="auto"/>
                    </w:rPr>
                    <w:t>王家河水库</w:t>
                  </w:r>
                </w:p>
              </w:tc>
              <w:tc>
                <w:tcPr>
                  <w:tcW w:w="826" w:type="pct"/>
                  <w:tcBorders>
                    <w:tl2br w:val="nil"/>
                    <w:tr2bl w:val="nil"/>
                  </w:tcBorders>
                  <w:vAlign w:val="center"/>
                </w:tcPr>
                <w:p w14:paraId="223CD05B">
                  <w:pPr>
                    <w:pStyle w:val="16"/>
                    <w:jc w:val="center"/>
                    <w:rPr>
                      <w:color w:val="auto"/>
                    </w:rPr>
                  </w:pPr>
                  <w:r>
                    <w:rPr>
                      <w:color w:val="auto"/>
                    </w:rPr>
                    <w:t>1#</w:t>
                  </w:r>
                </w:p>
              </w:tc>
              <w:tc>
                <w:tcPr>
                  <w:tcW w:w="1297" w:type="pct"/>
                  <w:tcBorders>
                    <w:tl2br w:val="nil"/>
                    <w:tr2bl w:val="nil"/>
                  </w:tcBorders>
                  <w:vAlign w:val="center"/>
                </w:tcPr>
                <w:p w14:paraId="12120568">
                  <w:pPr>
                    <w:pStyle w:val="16"/>
                    <w:jc w:val="center"/>
                    <w:rPr>
                      <w:color w:val="auto"/>
                    </w:rPr>
                  </w:pPr>
                  <w:r>
                    <w:rPr>
                      <w:rFonts w:hint="eastAsia"/>
                      <w:color w:val="auto"/>
                    </w:rPr>
                    <w:t>水库取水口</w:t>
                  </w:r>
                </w:p>
              </w:tc>
              <w:tc>
                <w:tcPr>
                  <w:tcW w:w="1626" w:type="pct"/>
                  <w:vMerge w:val="restart"/>
                  <w:tcBorders>
                    <w:tl2br w:val="nil"/>
                    <w:tr2bl w:val="nil"/>
                  </w:tcBorders>
                  <w:vAlign w:val="center"/>
                </w:tcPr>
                <w:p w14:paraId="58663228">
                  <w:pPr>
                    <w:pStyle w:val="16"/>
                    <w:jc w:val="center"/>
                    <w:rPr>
                      <w:color w:val="auto"/>
                    </w:rPr>
                  </w:pPr>
                  <w:r>
                    <w:rPr>
                      <w:rFonts w:hint="eastAsia"/>
                      <w:color w:val="auto"/>
                    </w:rPr>
                    <w:t>每期监测3天，监测2期</w:t>
                  </w:r>
                </w:p>
              </w:tc>
            </w:tr>
            <w:tr w14:paraId="5E46A9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0" w:type="pct"/>
                  <w:tcBorders>
                    <w:tl2br w:val="nil"/>
                    <w:tr2bl w:val="nil"/>
                  </w:tcBorders>
                  <w:vAlign w:val="center"/>
                </w:tcPr>
                <w:p w14:paraId="6A5DD7D0">
                  <w:pPr>
                    <w:pStyle w:val="16"/>
                    <w:jc w:val="center"/>
                    <w:rPr>
                      <w:color w:val="auto"/>
                    </w:rPr>
                  </w:pPr>
                  <w:r>
                    <w:rPr>
                      <w:rFonts w:hint="eastAsia"/>
                      <w:color w:val="auto"/>
                    </w:rPr>
                    <w:t>流里河水库</w:t>
                  </w:r>
                </w:p>
              </w:tc>
              <w:tc>
                <w:tcPr>
                  <w:tcW w:w="826" w:type="pct"/>
                  <w:tcBorders>
                    <w:tl2br w:val="nil"/>
                    <w:tr2bl w:val="nil"/>
                  </w:tcBorders>
                  <w:vAlign w:val="center"/>
                </w:tcPr>
                <w:p w14:paraId="2D2D3F93">
                  <w:pPr>
                    <w:pStyle w:val="16"/>
                    <w:jc w:val="center"/>
                    <w:rPr>
                      <w:color w:val="auto"/>
                    </w:rPr>
                  </w:pPr>
                  <w:r>
                    <w:rPr>
                      <w:color w:val="auto"/>
                    </w:rPr>
                    <w:t>2#</w:t>
                  </w:r>
                </w:p>
              </w:tc>
              <w:tc>
                <w:tcPr>
                  <w:tcW w:w="1297" w:type="pct"/>
                  <w:tcBorders>
                    <w:tl2br w:val="nil"/>
                    <w:tr2bl w:val="nil"/>
                  </w:tcBorders>
                  <w:vAlign w:val="center"/>
                </w:tcPr>
                <w:p w14:paraId="3BECAB4A">
                  <w:pPr>
                    <w:pStyle w:val="16"/>
                    <w:jc w:val="center"/>
                    <w:rPr>
                      <w:color w:val="auto"/>
                    </w:rPr>
                  </w:pPr>
                  <w:r>
                    <w:rPr>
                      <w:rFonts w:hint="eastAsia"/>
                      <w:color w:val="auto"/>
                    </w:rPr>
                    <w:t>水库取水口</w:t>
                  </w:r>
                </w:p>
              </w:tc>
              <w:tc>
                <w:tcPr>
                  <w:tcW w:w="1626" w:type="pct"/>
                  <w:vMerge w:val="continue"/>
                  <w:tcBorders>
                    <w:tl2br w:val="nil"/>
                    <w:tr2bl w:val="nil"/>
                  </w:tcBorders>
                  <w:vAlign w:val="center"/>
                </w:tcPr>
                <w:p w14:paraId="01741B44">
                  <w:pPr>
                    <w:pStyle w:val="16"/>
                    <w:jc w:val="center"/>
                    <w:rPr>
                      <w:color w:val="auto"/>
                    </w:rPr>
                  </w:pPr>
                </w:p>
              </w:tc>
            </w:tr>
            <w:tr w14:paraId="37236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50" w:type="pct"/>
                  <w:tcBorders>
                    <w:tl2br w:val="nil"/>
                    <w:tr2bl w:val="nil"/>
                  </w:tcBorders>
                  <w:vAlign w:val="center"/>
                </w:tcPr>
                <w:p w14:paraId="57F32D4A">
                  <w:pPr>
                    <w:pStyle w:val="16"/>
                    <w:jc w:val="center"/>
                    <w:rPr>
                      <w:color w:val="auto"/>
                    </w:rPr>
                  </w:pPr>
                  <w:r>
                    <w:rPr>
                      <w:rFonts w:hint="eastAsia"/>
                      <w:color w:val="auto"/>
                    </w:rPr>
                    <w:t>澌溪沟水库</w:t>
                  </w:r>
                </w:p>
              </w:tc>
              <w:tc>
                <w:tcPr>
                  <w:tcW w:w="826" w:type="pct"/>
                  <w:tcBorders>
                    <w:tl2br w:val="nil"/>
                    <w:tr2bl w:val="nil"/>
                  </w:tcBorders>
                  <w:vAlign w:val="center"/>
                </w:tcPr>
                <w:p w14:paraId="271D5CE8">
                  <w:pPr>
                    <w:pStyle w:val="16"/>
                    <w:jc w:val="center"/>
                    <w:rPr>
                      <w:color w:val="auto"/>
                    </w:rPr>
                  </w:pPr>
                  <w:r>
                    <w:rPr>
                      <w:color w:val="auto"/>
                    </w:rPr>
                    <w:t>3#</w:t>
                  </w:r>
                </w:p>
              </w:tc>
              <w:tc>
                <w:tcPr>
                  <w:tcW w:w="1297" w:type="pct"/>
                  <w:tcBorders>
                    <w:tl2br w:val="nil"/>
                    <w:tr2bl w:val="nil"/>
                  </w:tcBorders>
                  <w:vAlign w:val="center"/>
                </w:tcPr>
                <w:p w14:paraId="2C81EEC6">
                  <w:pPr>
                    <w:pStyle w:val="16"/>
                    <w:jc w:val="center"/>
                    <w:rPr>
                      <w:color w:val="auto"/>
                    </w:rPr>
                  </w:pPr>
                  <w:r>
                    <w:rPr>
                      <w:rFonts w:hint="eastAsia"/>
                      <w:color w:val="auto"/>
                    </w:rPr>
                    <w:t>水库取水口</w:t>
                  </w:r>
                </w:p>
              </w:tc>
              <w:tc>
                <w:tcPr>
                  <w:tcW w:w="1626" w:type="pct"/>
                  <w:vMerge w:val="continue"/>
                  <w:tcBorders>
                    <w:tl2br w:val="nil"/>
                    <w:tr2bl w:val="nil"/>
                  </w:tcBorders>
                  <w:vAlign w:val="center"/>
                </w:tcPr>
                <w:p w14:paraId="0FB1E824">
                  <w:pPr>
                    <w:pStyle w:val="16"/>
                    <w:jc w:val="center"/>
                    <w:rPr>
                      <w:color w:val="auto"/>
                    </w:rPr>
                  </w:pPr>
                </w:p>
              </w:tc>
            </w:tr>
          </w:tbl>
          <w:p w14:paraId="5C3A2DA0">
            <w:pPr>
              <w:ind w:firstLine="0" w:firstLineChars="0"/>
              <w:rPr>
                <w:b/>
                <w:bCs/>
                <w:color w:val="auto"/>
              </w:rPr>
            </w:pPr>
          </w:p>
          <w:p w14:paraId="1656CF32">
            <w:pPr>
              <w:ind w:firstLine="0" w:firstLineChars="0"/>
              <w:jc w:val="center"/>
              <w:rPr>
                <w:b/>
                <w:bCs/>
                <w:color w:val="auto"/>
              </w:rPr>
            </w:pPr>
            <w:r>
              <w:rPr>
                <w:color w:val="auto"/>
              </w:rPr>
              <w:drawing>
                <wp:inline distT="0" distB="0" distL="0" distR="0">
                  <wp:extent cx="5274310" cy="3512820"/>
                  <wp:effectExtent l="0" t="0" r="2540" b="0"/>
                  <wp:docPr id="6337825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82529"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74310" cy="3512820"/>
                          </a:xfrm>
                          <a:prstGeom prst="rect">
                            <a:avLst/>
                          </a:prstGeom>
                          <a:noFill/>
                          <a:ln>
                            <a:noFill/>
                          </a:ln>
                        </pic:spPr>
                      </pic:pic>
                    </a:graphicData>
                  </a:graphic>
                </wp:inline>
              </w:drawing>
            </w:r>
          </w:p>
          <w:p w14:paraId="6D5E2F6D">
            <w:pPr>
              <w:ind w:firstLine="0" w:firstLineChars="0"/>
              <w:jc w:val="center"/>
              <w:rPr>
                <w:b/>
                <w:bCs/>
                <w:color w:val="auto"/>
              </w:rPr>
            </w:pPr>
            <w:r>
              <w:rPr>
                <w:b/>
                <w:bCs/>
                <w:color w:val="auto"/>
              </w:rPr>
              <w:t xml:space="preserve">图 </w:t>
            </w:r>
            <w:r>
              <w:rPr>
                <w:rFonts w:hint="eastAsia"/>
                <w:b/>
                <w:bCs/>
                <w:color w:val="auto"/>
              </w:rPr>
              <w:t>3</w:t>
            </w:r>
            <w:r>
              <w:rPr>
                <w:b/>
                <w:bCs/>
                <w:color w:val="auto"/>
              </w:rPr>
              <w:t>-</w:t>
            </w:r>
            <w:r>
              <w:rPr>
                <w:rFonts w:hint="eastAsia"/>
                <w:b/>
                <w:bCs/>
                <w:color w:val="auto"/>
              </w:rPr>
              <w:t>4</w:t>
            </w:r>
            <w:r>
              <w:rPr>
                <w:b/>
                <w:bCs/>
                <w:color w:val="auto"/>
              </w:rPr>
              <w:t xml:space="preserve"> </w:t>
            </w:r>
            <w:r>
              <w:rPr>
                <w:rFonts w:hint="eastAsia"/>
                <w:b/>
                <w:bCs/>
                <w:color w:val="auto"/>
              </w:rPr>
              <w:t>本</w:t>
            </w:r>
            <w:r>
              <w:rPr>
                <w:b/>
                <w:bCs/>
                <w:color w:val="auto"/>
              </w:rPr>
              <w:t>项目地表水监测点位示意图</w:t>
            </w:r>
          </w:p>
          <w:p w14:paraId="645E4C32">
            <w:pPr>
              <w:ind w:firstLine="482"/>
              <w:rPr>
                <w:b/>
                <w:bCs/>
                <w:color w:val="auto"/>
              </w:rPr>
            </w:pPr>
            <w:r>
              <w:rPr>
                <w:rFonts w:hint="eastAsia"/>
                <w:b/>
                <w:bCs/>
                <w:color w:val="auto"/>
              </w:rPr>
              <w:t>2）</w:t>
            </w:r>
            <w:r>
              <w:rPr>
                <w:b/>
                <w:bCs/>
                <w:color w:val="auto"/>
              </w:rPr>
              <w:t>监测结果</w:t>
            </w:r>
          </w:p>
          <w:p w14:paraId="109DF954">
            <w:pPr>
              <w:ind w:firstLine="480"/>
              <w:rPr>
                <w:color w:val="auto"/>
              </w:rPr>
            </w:pPr>
            <w:r>
              <w:rPr>
                <w:color w:val="auto"/>
              </w:rPr>
              <w:t>通江县铁佛镇移民安置区饮水官网及灌溉水利设施建设工程水质监测结果见</w:t>
            </w:r>
            <w:r>
              <w:rPr>
                <w:color w:val="auto"/>
              </w:rPr>
              <w:fldChar w:fldCharType="begin"/>
            </w:r>
            <w:r>
              <w:rPr>
                <w:color w:val="auto"/>
              </w:rPr>
              <w:instrText xml:space="preserve"> REF _Ref20183 \h  \* MERGEFORMAT </w:instrText>
            </w:r>
            <w:r>
              <w:rPr>
                <w:color w:val="auto"/>
              </w:rPr>
              <w:fldChar w:fldCharType="separate"/>
            </w:r>
            <w:r>
              <w:rPr>
                <w:color w:val="auto"/>
              </w:rPr>
              <w:t>表</w:t>
            </w:r>
            <w:r>
              <w:rPr>
                <w:rFonts w:hint="eastAsia"/>
                <w:color w:val="auto"/>
              </w:rPr>
              <w:t>3</w:t>
            </w:r>
            <w:r>
              <w:rPr>
                <w:color w:val="auto"/>
              </w:rPr>
              <w:fldChar w:fldCharType="end"/>
            </w:r>
            <w:r>
              <w:rPr>
                <w:rFonts w:hint="eastAsia"/>
                <w:color w:val="auto"/>
              </w:rPr>
              <w:t>-3</w:t>
            </w:r>
            <w:r>
              <w:rPr>
                <w:color w:val="auto"/>
              </w:rPr>
              <w:t>。</w:t>
            </w:r>
          </w:p>
          <w:p w14:paraId="1772B2DB">
            <w:pPr>
              <w:pStyle w:val="17"/>
              <w:rPr>
                <w:rFonts w:hint="default"/>
                <w:color w:val="auto"/>
              </w:rPr>
            </w:pPr>
            <w:bookmarkStart w:id="19" w:name="_Ref20183"/>
            <w:r>
              <w:rPr>
                <w:color w:val="auto"/>
              </w:rPr>
              <w:t>表</w:t>
            </w:r>
            <w:bookmarkEnd w:id="19"/>
            <w:r>
              <w:rPr>
                <w:color w:val="auto"/>
              </w:rPr>
              <w:t>3-3 铁佛灌区项目水质委托监测结果统计表（单位：mg/L）</w:t>
            </w:r>
          </w:p>
          <w:tbl>
            <w:tblPr>
              <w:tblStyle w:val="12"/>
              <w:tblW w:w="8320" w:type="dxa"/>
              <w:tblInd w:w="0" w:type="dxa"/>
              <w:tblLayout w:type="autofit"/>
              <w:tblCellMar>
                <w:top w:w="0" w:type="dxa"/>
                <w:left w:w="108" w:type="dxa"/>
                <w:bottom w:w="0" w:type="dxa"/>
                <w:right w:w="108" w:type="dxa"/>
              </w:tblCellMar>
            </w:tblPr>
            <w:tblGrid>
              <w:gridCol w:w="949"/>
              <w:gridCol w:w="1278"/>
              <w:gridCol w:w="1018"/>
              <w:gridCol w:w="1019"/>
              <w:gridCol w:w="1018"/>
              <w:gridCol w:w="1019"/>
              <w:gridCol w:w="1002"/>
              <w:gridCol w:w="1017"/>
            </w:tblGrid>
            <w:tr w14:paraId="6CB67ECE">
              <w:trPr>
                <w:trHeight w:val="300" w:hRule="atLeast"/>
              </w:trPr>
              <w:tc>
                <w:tcPr>
                  <w:tcW w:w="1027" w:type="dxa"/>
                  <w:vMerge w:val="restart"/>
                  <w:tcBorders>
                    <w:top w:val="single" w:color="auto" w:sz="12" w:space="0"/>
                    <w:left w:val="nil"/>
                    <w:bottom w:val="single" w:color="auto" w:sz="4" w:space="0"/>
                    <w:right w:val="single" w:color="auto" w:sz="4" w:space="0"/>
                  </w:tcBorders>
                  <w:shd w:val="clear" w:color="000000" w:fill="FFFFFF"/>
                  <w:vAlign w:val="center"/>
                </w:tcPr>
                <w:p w14:paraId="71181EFF">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序号</w:t>
                  </w:r>
                </w:p>
              </w:tc>
              <w:tc>
                <w:tcPr>
                  <w:tcW w:w="1093" w:type="dxa"/>
                  <w:tcBorders>
                    <w:top w:val="single" w:color="auto" w:sz="12" w:space="0"/>
                    <w:left w:val="single" w:color="auto" w:sz="4" w:space="0"/>
                    <w:bottom w:val="single" w:color="auto" w:sz="4" w:space="0"/>
                    <w:right w:val="single" w:color="auto" w:sz="4" w:space="0"/>
                  </w:tcBorders>
                  <w:shd w:val="clear" w:color="000000" w:fill="FFFFFF"/>
                  <w:vAlign w:val="center"/>
                </w:tcPr>
                <w:p w14:paraId="456A09E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测点编号</w:t>
                  </w:r>
                </w:p>
              </w:tc>
              <w:tc>
                <w:tcPr>
                  <w:tcW w:w="1033" w:type="dxa"/>
                  <w:tcBorders>
                    <w:top w:val="single" w:color="auto" w:sz="12" w:space="0"/>
                    <w:left w:val="single" w:color="auto" w:sz="4" w:space="0"/>
                    <w:bottom w:val="single" w:color="auto" w:sz="4" w:space="0"/>
                    <w:right w:val="single" w:color="auto" w:sz="4" w:space="0"/>
                  </w:tcBorders>
                  <w:shd w:val="clear" w:color="000000" w:fill="FFFFFF"/>
                  <w:vAlign w:val="center"/>
                </w:tcPr>
                <w:p w14:paraId="1009F6A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w:t>
                  </w:r>
                </w:p>
              </w:tc>
              <w:tc>
                <w:tcPr>
                  <w:tcW w:w="1034" w:type="dxa"/>
                  <w:tcBorders>
                    <w:top w:val="single" w:color="auto" w:sz="12" w:space="0"/>
                    <w:left w:val="single" w:color="auto" w:sz="4" w:space="0"/>
                    <w:bottom w:val="single" w:color="auto" w:sz="4" w:space="0"/>
                    <w:right w:val="single" w:color="auto" w:sz="4" w:space="0"/>
                  </w:tcBorders>
                  <w:shd w:val="clear" w:color="000000" w:fill="FFFFFF"/>
                  <w:vAlign w:val="center"/>
                </w:tcPr>
                <w:p w14:paraId="6948061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w:t>
                  </w:r>
                </w:p>
              </w:tc>
              <w:tc>
                <w:tcPr>
                  <w:tcW w:w="1033" w:type="dxa"/>
                  <w:tcBorders>
                    <w:top w:val="single" w:color="auto" w:sz="12" w:space="0"/>
                    <w:left w:val="single" w:color="auto" w:sz="4" w:space="0"/>
                    <w:bottom w:val="single" w:color="auto" w:sz="4" w:space="0"/>
                    <w:right w:val="single" w:color="auto" w:sz="4" w:space="0"/>
                  </w:tcBorders>
                  <w:shd w:val="clear" w:color="000000" w:fill="FFFFFF"/>
                  <w:vAlign w:val="center"/>
                </w:tcPr>
                <w:p w14:paraId="0B1E544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w:t>
                  </w:r>
                </w:p>
              </w:tc>
              <w:tc>
                <w:tcPr>
                  <w:tcW w:w="1034" w:type="dxa"/>
                  <w:tcBorders>
                    <w:top w:val="single" w:color="auto" w:sz="12" w:space="0"/>
                    <w:left w:val="single" w:color="auto" w:sz="4" w:space="0"/>
                    <w:bottom w:val="single" w:color="auto" w:sz="4" w:space="0"/>
                    <w:right w:val="single" w:color="auto" w:sz="4" w:space="0"/>
                  </w:tcBorders>
                  <w:shd w:val="clear" w:color="000000" w:fill="FFFFFF"/>
                  <w:vAlign w:val="center"/>
                </w:tcPr>
                <w:p w14:paraId="2594234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w:t>
                  </w:r>
                </w:p>
              </w:tc>
              <w:tc>
                <w:tcPr>
                  <w:tcW w:w="1032" w:type="dxa"/>
                  <w:tcBorders>
                    <w:top w:val="single" w:color="auto" w:sz="12" w:space="0"/>
                    <w:left w:val="single" w:color="auto" w:sz="4" w:space="0"/>
                    <w:bottom w:val="single" w:color="auto" w:sz="4" w:space="0"/>
                    <w:right w:val="single" w:color="auto" w:sz="4" w:space="0"/>
                  </w:tcBorders>
                  <w:shd w:val="clear" w:color="000000" w:fill="FFFFFF"/>
                  <w:vAlign w:val="center"/>
                </w:tcPr>
                <w:p w14:paraId="3F1A1B7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w:t>
                  </w:r>
                </w:p>
              </w:tc>
              <w:tc>
                <w:tcPr>
                  <w:tcW w:w="1034" w:type="dxa"/>
                  <w:tcBorders>
                    <w:top w:val="single" w:color="auto" w:sz="12" w:space="0"/>
                    <w:left w:val="single" w:color="auto" w:sz="4" w:space="0"/>
                    <w:bottom w:val="single" w:color="auto" w:sz="4" w:space="0"/>
                    <w:right w:val="nil"/>
                  </w:tcBorders>
                  <w:shd w:val="clear" w:color="000000" w:fill="FFFFFF"/>
                  <w:vAlign w:val="center"/>
                </w:tcPr>
                <w:p w14:paraId="679C27F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w:t>
                  </w:r>
                </w:p>
              </w:tc>
            </w:tr>
            <w:tr w14:paraId="2EB79A2A">
              <w:tblPrEx>
                <w:tblCellMar>
                  <w:top w:w="0" w:type="dxa"/>
                  <w:left w:w="108" w:type="dxa"/>
                  <w:bottom w:w="0" w:type="dxa"/>
                  <w:right w:w="108" w:type="dxa"/>
                </w:tblCellMar>
              </w:tblPrEx>
              <w:trPr>
                <w:trHeight w:val="290" w:hRule="atLeast"/>
              </w:trPr>
              <w:tc>
                <w:tcPr>
                  <w:tcW w:w="1027" w:type="dxa"/>
                  <w:vMerge w:val="continue"/>
                  <w:tcBorders>
                    <w:top w:val="single" w:color="auto" w:sz="4" w:space="0"/>
                    <w:left w:val="nil"/>
                    <w:bottom w:val="single" w:color="auto" w:sz="4" w:space="0"/>
                    <w:right w:val="single" w:color="auto" w:sz="4" w:space="0"/>
                  </w:tcBorders>
                  <w:vAlign w:val="center"/>
                </w:tcPr>
                <w:p w14:paraId="302B8EA3">
                  <w:pPr>
                    <w:widowControl/>
                    <w:autoSpaceDE/>
                    <w:autoSpaceDN/>
                    <w:spacing w:line="240" w:lineRule="auto"/>
                    <w:ind w:firstLine="0" w:firstLineChars="0"/>
                    <w:jc w:val="left"/>
                    <w:rPr>
                      <w:rFonts w:hint="eastAsia" w:ascii="宋体" w:hAnsi="宋体" w:cs="宋体"/>
                      <w:color w:val="auto"/>
                      <w:kern w:val="0"/>
                      <w:sz w:val="21"/>
                      <w:szCs w:val="21"/>
                    </w:rPr>
                  </w:pP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120BC8F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监测时间</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929D66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2025.8</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513982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2025.11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5BC1868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2025.8</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2A52F23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2025.11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4B23D80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2025.8</w:t>
                  </w:r>
                </w:p>
              </w:tc>
              <w:tc>
                <w:tcPr>
                  <w:tcW w:w="1034" w:type="dxa"/>
                  <w:tcBorders>
                    <w:top w:val="single" w:color="auto" w:sz="4" w:space="0"/>
                    <w:left w:val="single" w:color="auto" w:sz="4" w:space="0"/>
                    <w:bottom w:val="single" w:color="auto" w:sz="4" w:space="0"/>
                    <w:right w:val="single" w:color="auto" w:sz="8" w:space="0"/>
                  </w:tcBorders>
                  <w:shd w:val="clear" w:color="000000" w:fill="FFFFFF"/>
                  <w:vAlign w:val="center"/>
                </w:tcPr>
                <w:p w14:paraId="3923D53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2025.11</w:t>
                  </w:r>
                </w:p>
              </w:tc>
            </w:tr>
            <w:tr w14:paraId="530972C6">
              <w:tblPrEx>
                <w:tblCellMar>
                  <w:top w:w="0" w:type="dxa"/>
                  <w:left w:w="108" w:type="dxa"/>
                  <w:bottom w:w="0" w:type="dxa"/>
                  <w:right w:w="108" w:type="dxa"/>
                </w:tblCellMar>
              </w:tblPrEx>
              <w:trPr>
                <w:trHeight w:val="56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54A2086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729851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水温（</w:t>
                  </w:r>
                  <w:r>
                    <w:rPr>
                      <w:color w:val="auto"/>
                      <w:kern w:val="0"/>
                      <w:sz w:val="21"/>
                      <w:szCs w:val="21"/>
                    </w:rPr>
                    <w:t>℃</w:t>
                  </w:r>
                  <w:r>
                    <w:rPr>
                      <w:rFonts w:ascii="宋体" w:hAnsi="宋体" w:cs="宋体"/>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EE411E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29.8</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E90CF5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12.4</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46F54C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29.4</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E14797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11.6</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2857B6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65DC648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12</w:t>
                  </w:r>
                </w:p>
              </w:tc>
            </w:tr>
            <w:tr w14:paraId="025604B2">
              <w:tblPrEx>
                <w:tblCellMar>
                  <w:top w:w="0" w:type="dxa"/>
                  <w:left w:w="108" w:type="dxa"/>
                  <w:bottom w:w="0" w:type="dxa"/>
                  <w:right w:w="108" w:type="dxa"/>
                </w:tblCellMar>
              </w:tblPrEx>
              <w:trPr>
                <w:trHeight w:val="56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2C84E6B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019359E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pH</w:t>
                  </w:r>
                  <w:r>
                    <w:rPr>
                      <w:rFonts w:ascii="宋体" w:hAnsi="宋体"/>
                      <w:color w:val="auto"/>
                      <w:kern w:val="0"/>
                      <w:sz w:val="21"/>
                      <w:szCs w:val="21"/>
                    </w:rPr>
                    <w:t>（无量纲）</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CEC32C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8.4</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C64E9E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7.3</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66E916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6.8</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ACC36D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7.4</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075FBE1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7F0BCA1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7.3</w:t>
                  </w:r>
                </w:p>
              </w:tc>
            </w:tr>
            <w:tr w14:paraId="6CC34F47">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8FED6D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2384B61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溶解氧</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54AAC3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6.1</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CBD3FE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8.3</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534941C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6.5</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C6E613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71944B9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6.9</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61253DD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8.2</w:t>
                  </w:r>
                </w:p>
              </w:tc>
            </w:tr>
            <w:tr w14:paraId="7FD90637">
              <w:tblPrEx>
                <w:tblCellMar>
                  <w:top w:w="0" w:type="dxa"/>
                  <w:left w:w="108" w:type="dxa"/>
                  <w:bottom w:w="0" w:type="dxa"/>
                  <w:right w:w="108" w:type="dxa"/>
                </w:tblCellMar>
              </w:tblPrEx>
              <w:trPr>
                <w:trHeight w:val="55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1BC54AA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7ACCFBC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高锰酸盐指数</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4E49DD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189490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2.9</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AC47E2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3.5</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F28263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3.2</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624DC39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3.9</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C568FD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3.7</w:t>
                  </w:r>
                </w:p>
              </w:tc>
            </w:tr>
            <w:tr w14:paraId="7093AFD8">
              <w:tblPrEx>
                <w:tblCellMar>
                  <w:top w:w="0" w:type="dxa"/>
                  <w:left w:w="108" w:type="dxa"/>
                  <w:bottom w:w="0" w:type="dxa"/>
                  <w:right w:w="108" w:type="dxa"/>
                </w:tblCellMar>
              </w:tblPrEx>
              <w:trPr>
                <w:trHeight w:val="55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3D0676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2D1B211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化学需氧量</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4D197A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10</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7B36D6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97A02A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13</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8C4BDE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4EB501D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17</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1115135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11</w:t>
                  </w:r>
                </w:p>
              </w:tc>
            </w:tr>
            <w:tr w14:paraId="60860ED9">
              <w:tblPrEx>
                <w:tblCellMar>
                  <w:top w:w="0" w:type="dxa"/>
                  <w:left w:w="108" w:type="dxa"/>
                  <w:bottom w:w="0" w:type="dxa"/>
                  <w:right w:w="108" w:type="dxa"/>
                </w:tblCellMar>
              </w:tblPrEx>
              <w:trPr>
                <w:trHeight w:val="55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6CCDD6F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2FBDD34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五日生化需氧量</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05EE7C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1.3</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3EF158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1.5</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61A0AD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201F1E3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2.2</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64D6253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1.4</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65E08D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w:t>
                  </w:r>
                </w:p>
              </w:tc>
            </w:tr>
            <w:tr w14:paraId="5461CBCA">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11F4868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CD8DD60">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氨氮</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56B195E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0.261</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5D0734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0.158</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58E3DCC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89AE60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0.099</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2976E1C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0.106</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0BF425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0.231</w:t>
                  </w:r>
                </w:p>
              </w:tc>
            </w:tr>
            <w:tr w14:paraId="71AC790C">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6D3F4B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4C5F5B95">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总磷</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14933D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056178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1D20CE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246FF5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8BDC61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0.015</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365C11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0.02</w:t>
                  </w:r>
                </w:p>
              </w:tc>
            </w:tr>
            <w:tr w14:paraId="1CB35EEB">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00ACB35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9</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7C685BA1">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总氮</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A901F9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0.42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618725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0.4</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2E6697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C67C9A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0.43</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4AED41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0.26</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20B75C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0.43</w:t>
                  </w:r>
                </w:p>
              </w:tc>
            </w:tr>
            <w:tr w14:paraId="7AC72E6D">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284D133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10</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2FE8225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铜</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77B38C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0.0002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D3D1E5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0.001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CC14AA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E5A46E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485F026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7FEB23B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1B738FD4">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64CF5E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11</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11832EF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锌</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0AE41A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8188D4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10F1149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BAFD45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73723EF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0E63B0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3F7D58F1">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B617D6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12</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26149F0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硒</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02610D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F6193A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D6B1FD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1B0D0E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374BBD8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6FB2F56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335E39E2">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6C9FE6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13</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4E30872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砷</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6BD108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E2FB11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56AA3D2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BF849D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F36C7E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39FC53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3477A2FB">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0DF579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14</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532FF01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汞</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11A204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2545A8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921725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232D2FA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1789F9A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233B494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5AB6D74F">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6CB43DC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15</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59B2661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镉</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C034AC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557DC7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6B212A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88284C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222DC18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065569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56A174EC">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36EDB5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16</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3EE1C38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六价铬</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616852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0.025</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58FF201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0.004</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E7E834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67FC0E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4E17D33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30E4CB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54D2C028">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0B0F724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17</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A9FF7E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石油类</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15F5C77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0F1C75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6794DC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6A9270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724B14A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4565289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r>
            <w:tr w14:paraId="4C19E6CB">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422AB2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18</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310DC5B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挥发酚</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867250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2804105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0.0005</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EF416F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521425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0.0004</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7FAEA2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4FF6DA1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37BBAAC4">
              <w:tblPrEx>
                <w:tblCellMar>
                  <w:top w:w="0" w:type="dxa"/>
                  <w:left w:w="108" w:type="dxa"/>
                  <w:bottom w:w="0" w:type="dxa"/>
                  <w:right w:w="108" w:type="dxa"/>
                </w:tblCellMar>
              </w:tblPrEx>
              <w:trPr>
                <w:trHeight w:val="55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18B7E14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19</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14AFB7F">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阴离子表面活性剂</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149F1DA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740E2A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0.06</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F435AA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5FAD2C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0.05</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6273EE2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14846FA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0.05</w:t>
                  </w:r>
                </w:p>
              </w:tc>
            </w:tr>
            <w:tr w14:paraId="5C55BA35">
              <w:tblPrEx>
                <w:tblCellMar>
                  <w:top w:w="0" w:type="dxa"/>
                  <w:left w:w="108" w:type="dxa"/>
                  <w:bottom w:w="0" w:type="dxa"/>
                  <w:right w:w="108" w:type="dxa"/>
                </w:tblCellMar>
              </w:tblPrEx>
              <w:trPr>
                <w:trHeight w:val="110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592DFE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20</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5EA5157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粪大肠菌群（</w:t>
                  </w:r>
                  <w:r>
                    <w:rPr>
                      <w:color w:val="auto"/>
                      <w:kern w:val="0"/>
                      <w:sz w:val="21"/>
                      <w:szCs w:val="21"/>
                    </w:rPr>
                    <w:t>MPN/L</w:t>
                  </w:r>
                  <w:r>
                    <w:rPr>
                      <w:rFonts w:ascii="宋体" w:hAnsi="宋体" w:cs="宋体"/>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E360B1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175</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A54516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7.6×10</w:t>
                  </w:r>
                  <w:r>
                    <w:rPr>
                      <w:rFonts w:eastAsia="等线"/>
                      <w:color w:val="auto"/>
                      <w:kern w:val="0"/>
                      <w:sz w:val="21"/>
                      <w:szCs w:val="21"/>
                      <w:vertAlign w:val="superscript"/>
                    </w:rPr>
                    <w:t>2</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FC4244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2AF95D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1.3×10</w:t>
                  </w:r>
                  <w:r>
                    <w:rPr>
                      <w:rFonts w:eastAsia="等线"/>
                      <w:color w:val="auto"/>
                      <w:kern w:val="0"/>
                      <w:sz w:val="21"/>
                      <w:szCs w:val="21"/>
                      <w:vertAlign w:val="superscript"/>
                    </w:rPr>
                    <w:t>3</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515780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480</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33ABAE9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1.8×10</w:t>
                  </w:r>
                  <w:r>
                    <w:rPr>
                      <w:rFonts w:eastAsia="等线"/>
                      <w:color w:val="auto"/>
                      <w:kern w:val="0"/>
                      <w:sz w:val="21"/>
                      <w:szCs w:val="21"/>
                      <w:vertAlign w:val="superscript"/>
                    </w:rPr>
                    <w:t>3</w:t>
                  </w:r>
                </w:p>
              </w:tc>
            </w:tr>
            <w:tr w14:paraId="2E0FBC1E">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5FD57DE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21</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1C4C3AC0">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氰化物</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37688D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56C05E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C2A72E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3873D4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7645633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EFD14B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74827262">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2CB0A15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22</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0F2B5E2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硫化物</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DC7D13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5B1022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2ACFC6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15B813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0.02</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1E77E7C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79029E5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r>
            <w:tr w14:paraId="0BA0B9EA">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4B6B0BB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23</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4AD5DE5">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氟化物</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9F8020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0.184</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A73306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0.156</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01468B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A01D5A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0.209</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036F133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0.172</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57419FE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0.182</w:t>
                  </w:r>
                </w:p>
              </w:tc>
            </w:tr>
            <w:tr w14:paraId="6DAD6DBB">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008FAA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24</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385D9A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氯化物</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20FB997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8.9</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F3BFE4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5.19</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B9656D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18E2B6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4.64</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462307C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48EE011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474D3962">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3157819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25</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0514466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硫酸盐</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5DE3D4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9.68</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9E2A94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6.6</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785282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A62BA8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6.28</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0899F29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14FCF4E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539E96D2">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789F462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26</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11535968">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硝酸盐</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5999B6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0.083</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30EBE09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0.21</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412D0D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40E2FB2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0.27</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5ECB188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307A01A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266DA3D8">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060CDBB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27</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3656DF9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铅</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3DCD70D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D6EA3A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889E6D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0D69620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1EE3836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1935223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79E6C12E">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57335A7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28</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6822DF52">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铁</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1CDE474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66207C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9D1169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755D5D2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19CB6C0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2BFBE757">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43288902">
              <w:tblPrEx>
                <w:tblCellMar>
                  <w:top w:w="0" w:type="dxa"/>
                  <w:left w:w="108" w:type="dxa"/>
                  <w:bottom w:w="0" w:type="dxa"/>
                  <w:right w:w="108" w:type="dxa"/>
                </w:tblCellMar>
              </w:tblPrEx>
              <w:trPr>
                <w:trHeight w:val="29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248DF3FB">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29</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74D597C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锰</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412DBFC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324395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6FB8DA4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219BCD6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7123FE5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CE187EF">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1792C4B6">
              <w:tblPrEx>
                <w:tblCellMar>
                  <w:top w:w="0" w:type="dxa"/>
                  <w:left w:w="108" w:type="dxa"/>
                  <w:bottom w:w="0" w:type="dxa"/>
                  <w:right w:w="108" w:type="dxa"/>
                </w:tblCellMar>
              </w:tblPrEx>
              <w:trPr>
                <w:trHeight w:val="570" w:hRule="atLeast"/>
              </w:trPr>
              <w:tc>
                <w:tcPr>
                  <w:tcW w:w="1027" w:type="dxa"/>
                  <w:tcBorders>
                    <w:top w:val="single" w:color="auto" w:sz="4" w:space="0"/>
                    <w:left w:val="nil"/>
                    <w:bottom w:val="single" w:color="auto" w:sz="4" w:space="0"/>
                    <w:right w:val="single" w:color="auto" w:sz="4" w:space="0"/>
                  </w:tcBorders>
                  <w:shd w:val="clear" w:color="000000" w:fill="FFFFFF"/>
                  <w:vAlign w:val="center"/>
                </w:tcPr>
                <w:p w14:paraId="051CD98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30</w:t>
                  </w:r>
                </w:p>
              </w:tc>
              <w:tc>
                <w:tcPr>
                  <w:tcW w:w="1093" w:type="dxa"/>
                  <w:tcBorders>
                    <w:top w:val="single" w:color="auto" w:sz="4" w:space="0"/>
                    <w:left w:val="single" w:color="auto" w:sz="4" w:space="0"/>
                    <w:bottom w:val="single" w:color="auto" w:sz="4" w:space="0"/>
                    <w:right w:val="single" w:color="auto" w:sz="4" w:space="0"/>
                  </w:tcBorders>
                  <w:shd w:val="clear" w:color="000000" w:fill="FFFFFF"/>
                  <w:vAlign w:val="center"/>
                </w:tcPr>
                <w:p w14:paraId="3ED12A8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总</w:t>
                  </w:r>
                  <w:r>
                    <w:rPr>
                      <w:color w:val="auto"/>
                      <w:kern w:val="0"/>
                      <w:sz w:val="21"/>
                      <w:szCs w:val="21"/>
                    </w:rPr>
                    <w:t>α</w:t>
                  </w:r>
                  <w:r>
                    <w:rPr>
                      <w:rFonts w:ascii="宋体" w:hAnsi="宋体" w:cs="宋体"/>
                      <w:color w:val="auto"/>
                      <w:kern w:val="0"/>
                      <w:sz w:val="21"/>
                      <w:szCs w:val="21"/>
                    </w:rPr>
                    <w:t>放射性（</w:t>
                  </w:r>
                  <w:r>
                    <w:rPr>
                      <w:color w:val="auto"/>
                      <w:kern w:val="0"/>
                      <w:sz w:val="21"/>
                      <w:szCs w:val="21"/>
                    </w:rPr>
                    <w:t>Bq/L</w:t>
                  </w:r>
                  <w:r>
                    <w:rPr>
                      <w:rFonts w:ascii="宋体" w:hAnsi="宋体" w:cs="宋体"/>
                      <w:color w:val="auto"/>
                      <w:kern w:val="0"/>
                      <w:sz w:val="21"/>
                      <w:szCs w:val="21"/>
                    </w:rPr>
                    <w:t>）</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7958DF1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4.3×10</w:t>
                  </w:r>
                  <w:r>
                    <w:rPr>
                      <w:rFonts w:eastAsia="等线"/>
                      <w:color w:val="auto"/>
                      <w:kern w:val="0"/>
                      <w:sz w:val="21"/>
                      <w:szCs w:val="21"/>
                      <w:vertAlign w:val="superscript"/>
                    </w:rPr>
                    <w:t>-2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61729C90">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4.3×10</w:t>
                  </w:r>
                  <w:r>
                    <w:rPr>
                      <w:rFonts w:eastAsia="等线"/>
                      <w:color w:val="auto"/>
                      <w:kern w:val="0"/>
                      <w:sz w:val="21"/>
                      <w:szCs w:val="21"/>
                      <w:vertAlign w:val="superscript"/>
                    </w:rPr>
                    <w:t>-2</w:t>
                  </w:r>
                </w:p>
              </w:tc>
              <w:tc>
                <w:tcPr>
                  <w:tcW w:w="1033" w:type="dxa"/>
                  <w:tcBorders>
                    <w:top w:val="single" w:color="auto" w:sz="4" w:space="0"/>
                    <w:left w:val="single" w:color="auto" w:sz="4" w:space="0"/>
                    <w:bottom w:val="single" w:color="auto" w:sz="4" w:space="0"/>
                    <w:right w:val="single" w:color="auto" w:sz="4" w:space="0"/>
                  </w:tcBorders>
                  <w:shd w:val="clear" w:color="000000" w:fill="FFFFFF"/>
                  <w:vAlign w:val="center"/>
                </w:tcPr>
                <w:p w14:paraId="04ED373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4.3×10</w:t>
                  </w:r>
                  <w:r>
                    <w:rPr>
                      <w:rFonts w:eastAsia="等线"/>
                      <w:color w:val="auto"/>
                      <w:kern w:val="0"/>
                      <w:sz w:val="21"/>
                      <w:szCs w:val="21"/>
                      <w:vertAlign w:val="superscript"/>
                    </w:rPr>
                    <w:t>-2</w:t>
                  </w:r>
                </w:p>
              </w:tc>
              <w:tc>
                <w:tcPr>
                  <w:tcW w:w="1034" w:type="dxa"/>
                  <w:tcBorders>
                    <w:top w:val="single" w:color="auto" w:sz="4" w:space="0"/>
                    <w:left w:val="single" w:color="auto" w:sz="4" w:space="0"/>
                    <w:bottom w:val="single" w:color="auto" w:sz="4" w:space="0"/>
                    <w:right w:val="single" w:color="auto" w:sz="4" w:space="0"/>
                  </w:tcBorders>
                  <w:shd w:val="clear" w:color="000000" w:fill="FFFFFF"/>
                  <w:vAlign w:val="center"/>
                </w:tcPr>
                <w:p w14:paraId="1B6C69A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4.3×10</w:t>
                  </w:r>
                  <w:r>
                    <w:rPr>
                      <w:rFonts w:eastAsia="等线"/>
                      <w:color w:val="auto"/>
                      <w:kern w:val="0"/>
                      <w:sz w:val="21"/>
                      <w:szCs w:val="21"/>
                      <w:vertAlign w:val="superscript"/>
                    </w:rPr>
                    <w:t>-2</w:t>
                  </w:r>
                </w:p>
              </w:tc>
              <w:tc>
                <w:tcPr>
                  <w:tcW w:w="1032" w:type="dxa"/>
                  <w:tcBorders>
                    <w:top w:val="single" w:color="auto" w:sz="4" w:space="0"/>
                    <w:left w:val="single" w:color="auto" w:sz="4" w:space="0"/>
                    <w:bottom w:val="single" w:color="auto" w:sz="4" w:space="0"/>
                    <w:right w:val="single" w:color="auto" w:sz="4" w:space="0"/>
                  </w:tcBorders>
                  <w:shd w:val="clear" w:color="000000" w:fill="FFFFFF"/>
                  <w:vAlign w:val="center"/>
                </w:tcPr>
                <w:p w14:paraId="291E5E1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4" w:space="0"/>
                    <w:right w:val="nil"/>
                  </w:tcBorders>
                  <w:shd w:val="clear" w:color="000000" w:fill="FFFFFF"/>
                  <w:vAlign w:val="center"/>
                </w:tcPr>
                <w:p w14:paraId="0D0BC50A">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r w14:paraId="3739C417">
              <w:tblPrEx>
                <w:tblCellMar>
                  <w:top w:w="0" w:type="dxa"/>
                  <w:left w:w="108" w:type="dxa"/>
                  <w:bottom w:w="0" w:type="dxa"/>
                  <w:right w:w="108" w:type="dxa"/>
                </w:tblCellMar>
              </w:tblPrEx>
              <w:trPr>
                <w:trHeight w:val="570" w:hRule="atLeast"/>
              </w:trPr>
              <w:tc>
                <w:tcPr>
                  <w:tcW w:w="1027" w:type="dxa"/>
                  <w:tcBorders>
                    <w:top w:val="single" w:color="auto" w:sz="4" w:space="0"/>
                    <w:left w:val="nil"/>
                    <w:bottom w:val="single" w:color="auto" w:sz="12" w:space="0"/>
                    <w:right w:val="single" w:color="auto" w:sz="4" w:space="0"/>
                  </w:tcBorders>
                  <w:shd w:val="clear" w:color="000000" w:fill="FFFFFF"/>
                  <w:vAlign w:val="center"/>
                </w:tcPr>
                <w:p w14:paraId="749136C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31</w:t>
                  </w:r>
                </w:p>
              </w:tc>
              <w:tc>
                <w:tcPr>
                  <w:tcW w:w="1093" w:type="dxa"/>
                  <w:tcBorders>
                    <w:top w:val="single" w:color="auto" w:sz="4" w:space="0"/>
                    <w:left w:val="single" w:color="auto" w:sz="4" w:space="0"/>
                    <w:bottom w:val="single" w:color="auto" w:sz="12" w:space="0"/>
                    <w:right w:val="single" w:color="auto" w:sz="4" w:space="0"/>
                  </w:tcBorders>
                  <w:shd w:val="clear" w:color="000000" w:fill="FFFFFF"/>
                  <w:vAlign w:val="center"/>
                </w:tcPr>
                <w:p w14:paraId="01F081F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总</w:t>
                  </w:r>
                  <w:r>
                    <w:rPr>
                      <w:color w:val="auto"/>
                      <w:kern w:val="0"/>
                      <w:sz w:val="21"/>
                      <w:szCs w:val="21"/>
                    </w:rPr>
                    <w:t>β</w:t>
                  </w:r>
                  <w:r>
                    <w:rPr>
                      <w:rFonts w:ascii="宋体" w:hAnsi="宋体" w:cs="宋体"/>
                      <w:color w:val="auto"/>
                      <w:kern w:val="0"/>
                      <w:sz w:val="21"/>
                      <w:szCs w:val="21"/>
                    </w:rPr>
                    <w:t>放射性（</w:t>
                  </w:r>
                  <w:r>
                    <w:rPr>
                      <w:color w:val="auto"/>
                      <w:kern w:val="0"/>
                      <w:sz w:val="21"/>
                      <w:szCs w:val="21"/>
                    </w:rPr>
                    <w:t>Bq/L</w:t>
                  </w:r>
                  <w:r>
                    <w:rPr>
                      <w:rFonts w:ascii="宋体" w:hAnsi="宋体" w:cs="宋体"/>
                      <w:color w:val="auto"/>
                      <w:kern w:val="0"/>
                      <w:sz w:val="21"/>
                      <w:szCs w:val="21"/>
                    </w:rPr>
                    <w:t>）</w:t>
                  </w:r>
                </w:p>
              </w:tc>
              <w:tc>
                <w:tcPr>
                  <w:tcW w:w="1033" w:type="dxa"/>
                  <w:tcBorders>
                    <w:top w:val="single" w:color="auto" w:sz="4" w:space="0"/>
                    <w:left w:val="single" w:color="auto" w:sz="4" w:space="0"/>
                    <w:bottom w:val="single" w:color="auto" w:sz="12" w:space="0"/>
                    <w:right w:val="single" w:color="auto" w:sz="4" w:space="0"/>
                  </w:tcBorders>
                  <w:shd w:val="clear" w:color="000000" w:fill="FFFFFF"/>
                  <w:vAlign w:val="center"/>
                </w:tcPr>
                <w:p w14:paraId="02B771D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w:t>
                  </w:r>
                </w:p>
              </w:tc>
              <w:tc>
                <w:tcPr>
                  <w:tcW w:w="1034" w:type="dxa"/>
                  <w:tcBorders>
                    <w:top w:val="single" w:color="auto" w:sz="4" w:space="0"/>
                    <w:left w:val="single" w:color="auto" w:sz="4" w:space="0"/>
                    <w:bottom w:val="single" w:color="auto" w:sz="12" w:space="0"/>
                    <w:right w:val="single" w:color="auto" w:sz="4" w:space="0"/>
                  </w:tcBorders>
                  <w:shd w:val="clear" w:color="000000" w:fill="FFFFFF"/>
                  <w:vAlign w:val="center"/>
                </w:tcPr>
                <w:p w14:paraId="5297486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0.017</w:t>
                  </w:r>
                </w:p>
              </w:tc>
              <w:tc>
                <w:tcPr>
                  <w:tcW w:w="1033" w:type="dxa"/>
                  <w:tcBorders>
                    <w:top w:val="single" w:color="auto" w:sz="4" w:space="0"/>
                    <w:left w:val="single" w:color="auto" w:sz="4" w:space="0"/>
                    <w:bottom w:val="single" w:color="auto" w:sz="12" w:space="0"/>
                    <w:right w:val="single" w:color="auto" w:sz="4" w:space="0"/>
                  </w:tcBorders>
                  <w:shd w:val="clear" w:color="000000" w:fill="FFFFFF"/>
                  <w:vAlign w:val="center"/>
                </w:tcPr>
                <w:p w14:paraId="10C0AB12">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0.1</w:t>
                  </w:r>
                </w:p>
              </w:tc>
              <w:tc>
                <w:tcPr>
                  <w:tcW w:w="1034" w:type="dxa"/>
                  <w:tcBorders>
                    <w:top w:val="single" w:color="auto" w:sz="4" w:space="0"/>
                    <w:left w:val="single" w:color="auto" w:sz="4" w:space="0"/>
                    <w:bottom w:val="single" w:color="auto" w:sz="12" w:space="0"/>
                    <w:right w:val="single" w:color="auto" w:sz="4" w:space="0"/>
                  </w:tcBorders>
                  <w:shd w:val="clear" w:color="000000" w:fill="FFFFFF"/>
                  <w:vAlign w:val="center"/>
                </w:tcPr>
                <w:p w14:paraId="4A6F8AB6">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0.018</w:t>
                  </w:r>
                </w:p>
              </w:tc>
              <w:tc>
                <w:tcPr>
                  <w:tcW w:w="1032" w:type="dxa"/>
                  <w:tcBorders>
                    <w:top w:val="single" w:color="auto" w:sz="4" w:space="0"/>
                    <w:left w:val="single" w:color="auto" w:sz="4" w:space="0"/>
                    <w:bottom w:val="single" w:color="auto" w:sz="12" w:space="0"/>
                    <w:right w:val="single" w:color="auto" w:sz="4" w:space="0"/>
                  </w:tcBorders>
                  <w:shd w:val="clear" w:color="000000" w:fill="FFFFFF"/>
                  <w:vAlign w:val="center"/>
                </w:tcPr>
                <w:p w14:paraId="3429324C">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c>
                <w:tcPr>
                  <w:tcW w:w="1034" w:type="dxa"/>
                  <w:tcBorders>
                    <w:top w:val="single" w:color="auto" w:sz="4" w:space="0"/>
                    <w:left w:val="single" w:color="auto" w:sz="4" w:space="0"/>
                    <w:bottom w:val="single" w:color="auto" w:sz="12" w:space="0"/>
                    <w:right w:val="nil"/>
                  </w:tcBorders>
                  <w:shd w:val="clear" w:color="000000" w:fill="FFFFFF"/>
                  <w:vAlign w:val="center"/>
                </w:tcPr>
                <w:p w14:paraId="2B7B60B5">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w:t>
                  </w:r>
                </w:p>
              </w:tc>
            </w:tr>
          </w:tbl>
          <w:p w14:paraId="61803161">
            <w:pPr>
              <w:ind w:firstLine="480"/>
              <w:rPr>
                <w:color w:val="auto"/>
              </w:rPr>
            </w:pPr>
          </w:p>
          <w:p w14:paraId="65B3D428">
            <w:pPr>
              <w:ind w:firstLine="480"/>
              <w:rPr>
                <w:color w:val="auto"/>
              </w:rPr>
            </w:pPr>
            <w:r>
              <w:rPr>
                <w:color w:val="auto"/>
              </w:rPr>
              <w:t>委托监测结果表明，在2025年8月的监测中，澌溪沟水库取水口断面COD超过Ⅱ类水质要求，满足Ⅲ类水质要求，可能是由于丰水期降雨量增大，降雨径流带来的面源增加造成断面水质超标。流里河水库取水口断面和王家河水库取水口断面所有指标均达到Ⅱ类水质要求。在2025年11月的监测中，流里河水库取水口断面、王家河取水口断面和澌溪沟水库取水口断面均达到Ⅱ类水质要求。</w:t>
            </w:r>
          </w:p>
          <w:p w14:paraId="3EDEE703">
            <w:pPr>
              <w:ind w:firstLine="480"/>
              <w:rPr>
                <w:color w:val="auto"/>
              </w:rPr>
            </w:pPr>
            <w:r>
              <w:rPr>
                <w:rFonts w:hint="eastAsia"/>
                <w:color w:val="auto"/>
              </w:rPr>
              <w:t>综上</w:t>
            </w:r>
            <w:r>
              <w:rPr>
                <w:color w:val="auto"/>
              </w:rPr>
              <w:t>，2025年8月</w:t>
            </w:r>
            <w:r>
              <w:rPr>
                <w:rFonts w:hint="eastAsia"/>
                <w:color w:val="auto"/>
              </w:rPr>
              <w:t>、11月的监测结果表明</w:t>
            </w:r>
            <w:r>
              <w:rPr>
                <w:color w:val="auto"/>
              </w:rPr>
              <w:t>，流里河水库取水口、王家河水库取水口和澌溪沟水库取水口三个水库取水口断面综合水质类别为Ⅱ类，综合水质状况为优。</w:t>
            </w:r>
          </w:p>
          <w:p w14:paraId="085127D3">
            <w:pPr>
              <w:ind w:firstLine="0" w:firstLineChars="0"/>
              <w:rPr>
                <w:color w:val="auto"/>
              </w:rPr>
            </w:pPr>
            <w:r>
              <w:rPr>
                <w:b/>
                <w:bCs/>
                <w:color w:val="auto"/>
              </w:rPr>
              <w:t>3.</w:t>
            </w:r>
            <w:r>
              <w:rPr>
                <w:rFonts w:hint="eastAsia"/>
                <w:b/>
                <w:bCs/>
                <w:color w:val="auto"/>
              </w:rPr>
              <w:t>6</w:t>
            </w:r>
            <w:r>
              <w:rPr>
                <w:b/>
                <w:bCs/>
                <w:color w:val="auto"/>
              </w:rPr>
              <w:t>声环境质量</w:t>
            </w:r>
          </w:p>
          <w:p w14:paraId="48294563">
            <w:pPr>
              <w:ind w:firstLine="480"/>
              <w:rPr>
                <w:color w:val="auto"/>
              </w:rPr>
            </w:pPr>
            <w:r>
              <w:rPr>
                <w:rFonts w:hint="eastAsia"/>
                <w:color w:val="auto"/>
              </w:rPr>
              <w:t>本次委托</w:t>
            </w:r>
            <w:r>
              <w:rPr>
                <w:color w:val="auto"/>
              </w:rPr>
              <w:t>四川恒宇环境节能检测有限公司于2025年8月</w:t>
            </w:r>
            <w:r>
              <w:rPr>
                <w:rFonts w:hint="eastAsia"/>
                <w:color w:val="auto"/>
              </w:rPr>
              <w:t>对工程场地周边12个点位的声环境进行了监测，监测点位图如下所示，监测结果如下表所示。</w:t>
            </w:r>
          </w:p>
          <w:p w14:paraId="35584C0E">
            <w:pPr>
              <w:ind w:firstLine="420"/>
              <w:rPr>
                <w:rFonts w:eastAsia="黑体"/>
                <w:bCs/>
                <w:color w:val="auto"/>
                <w:sz w:val="21"/>
                <w:szCs w:val="21"/>
              </w:rPr>
            </w:pPr>
          </w:p>
          <w:p w14:paraId="21AF39C0">
            <w:pPr>
              <w:ind w:firstLine="420"/>
              <w:rPr>
                <w:rFonts w:eastAsia="黑体"/>
                <w:bCs/>
                <w:color w:val="auto"/>
                <w:sz w:val="21"/>
                <w:szCs w:val="21"/>
              </w:rPr>
            </w:pPr>
          </w:p>
          <w:p w14:paraId="515117E0">
            <w:pPr>
              <w:ind w:firstLine="0" w:firstLineChars="0"/>
              <w:jc w:val="center"/>
              <w:rPr>
                <w:color w:val="auto"/>
              </w:rPr>
            </w:pPr>
            <w:r>
              <w:rPr>
                <w:color w:val="auto"/>
              </w:rPr>
              <w:drawing>
                <wp:inline distT="0" distB="0" distL="0" distR="0">
                  <wp:extent cx="5274310" cy="3514090"/>
                  <wp:effectExtent l="0" t="0" r="2540" b="0"/>
                  <wp:docPr id="18134275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27576" name="图片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74310" cy="3514090"/>
                          </a:xfrm>
                          <a:prstGeom prst="rect">
                            <a:avLst/>
                          </a:prstGeom>
                          <a:noFill/>
                          <a:ln>
                            <a:noFill/>
                          </a:ln>
                        </pic:spPr>
                      </pic:pic>
                    </a:graphicData>
                  </a:graphic>
                </wp:inline>
              </w:drawing>
            </w:r>
          </w:p>
          <w:p w14:paraId="01DDC6A0">
            <w:pPr>
              <w:ind w:firstLine="0" w:firstLineChars="0"/>
              <w:jc w:val="center"/>
              <w:rPr>
                <w:b/>
                <w:bCs/>
                <w:color w:val="auto"/>
              </w:rPr>
            </w:pPr>
            <w:r>
              <w:rPr>
                <w:b/>
                <w:bCs/>
                <w:color w:val="auto"/>
              </w:rPr>
              <w:t xml:space="preserve">图 </w:t>
            </w:r>
            <w:r>
              <w:rPr>
                <w:rFonts w:hint="eastAsia"/>
                <w:b/>
                <w:bCs/>
                <w:color w:val="auto"/>
              </w:rPr>
              <w:t>3</w:t>
            </w:r>
            <w:r>
              <w:rPr>
                <w:b/>
                <w:bCs/>
                <w:color w:val="auto"/>
              </w:rPr>
              <w:t>-</w:t>
            </w:r>
            <w:r>
              <w:rPr>
                <w:rFonts w:hint="eastAsia"/>
                <w:b/>
                <w:bCs/>
                <w:color w:val="auto"/>
              </w:rPr>
              <w:t>5</w:t>
            </w:r>
            <w:r>
              <w:rPr>
                <w:b/>
                <w:bCs/>
                <w:color w:val="auto"/>
              </w:rPr>
              <w:t xml:space="preserve"> </w:t>
            </w:r>
            <w:r>
              <w:rPr>
                <w:rFonts w:hint="eastAsia"/>
                <w:b/>
                <w:bCs/>
                <w:color w:val="auto"/>
              </w:rPr>
              <w:t>本</w:t>
            </w:r>
            <w:r>
              <w:rPr>
                <w:b/>
                <w:bCs/>
                <w:color w:val="auto"/>
              </w:rPr>
              <w:t>项目声环境监测点位示意图</w:t>
            </w:r>
          </w:p>
          <w:p w14:paraId="4BCED9AB">
            <w:pPr>
              <w:pStyle w:val="17"/>
              <w:rPr>
                <w:rFonts w:hint="default"/>
                <w:color w:val="auto"/>
              </w:rPr>
            </w:pPr>
            <w:r>
              <w:rPr>
                <w:color w:val="auto"/>
              </w:rPr>
              <w:t>表3-4 声环境监测结果一览表</w:t>
            </w:r>
          </w:p>
          <w:tbl>
            <w:tblPr>
              <w:tblStyle w:val="1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autofit"/>
              <w:tblCellMar>
                <w:top w:w="0" w:type="dxa"/>
                <w:left w:w="108" w:type="dxa"/>
                <w:bottom w:w="0" w:type="dxa"/>
                <w:right w:w="108" w:type="dxa"/>
              </w:tblCellMar>
            </w:tblPr>
            <w:tblGrid>
              <w:gridCol w:w="1137"/>
              <w:gridCol w:w="1397"/>
              <w:gridCol w:w="1587"/>
              <w:gridCol w:w="2684"/>
              <w:gridCol w:w="1520"/>
            </w:tblGrid>
            <w:tr w14:paraId="493A653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804" w:hRule="atLeast"/>
                <w:tblHeader/>
              </w:trPr>
              <w:tc>
                <w:tcPr>
                  <w:tcW w:w="683" w:type="pct"/>
                  <w:tcBorders>
                    <w:tl2br w:val="nil"/>
                    <w:tr2bl w:val="nil"/>
                  </w:tcBorders>
                  <w:vAlign w:val="center"/>
                </w:tcPr>
                <w:p w14:paraId="59815374">
                  <w:pPr>
                    <w:pStyle w:val="16"/>
                    <w:jc w:val="center"/>
                    <w:rPr>
                      <w:color w:val="auto"/>
                    </w:rPr>
                  </w:pPr>
                  <w:r>
                    <w:rPr>
                      <w:color w:val="auto"/>
                    </w:rPr>
                    <w:t>监测项目</w:t>
                  </w:r>
                </w:p>
              </w:tc>
              <w:tc>
                <w:tcPr>
                  <w:tcW w:w="839" w:type="pct"/>
                  <w:tcBorders>
                    <w:tl2br w:val="nil"/>
                    <w:tr2bl w:val="nil"/>
                  </w:tcBorders>
                  <w:vAlign w:val="center"/>
                </w:tcPr>
                <w:p w14:paraId="516B7D47">
                  <w:pPr>
                    <w:pStyle w:val="16"/>
                    <w:jc w:val="center"/>
                    <w:rPr>
                      <w:color w:val="auto"/>
                    </w:rPr>
                  </w:pPr>
                  <w:r>
                    <w:rPr>
                      <w:color w:val="auto"/>
                    </w:rPr>
                    <w:t>监测日期</w:t>
                  </w:r>
                </w:p>
              </w:tc>
              <w:tc>
                <w:tcPr>
                  <w:tcW w:w="953" w:type="pct"/>
                  <w:tcBorders>
                    <w:tl2br w:val="nil"/>
                    <w:tr2bl w:val="nil"/>
                  </w:tcBorders>
                  <w:vAlign w:val="center"/>
                </w:tcPr>
                <w:p w14:paraId="23B1FB77">
                  <w:pPr>
                    <w:pStyle w:val="16"/>
                    <w:jc w:val="center"/>
                    <w:rPr>
                      <w:color w:val="auto"/>
                    </w:rPr>
                  </w:pPr>
                  <w:r>
                    <w:rPr>
                      <w:color w:val="auto"/>
                    </w:rPr>
                    <w:t>监测点编号</w:t>
                  </w:r>
                </w:p>
              </w:tc>
              <w:tc>
                <w:tcPr>
                  <w:tcW w:w="1612" w:type="pct"/>
                  <w:tcBorders>
                    <w:tl2br w:val="nil"/>
                    <w:tr2bl w:val="nil"/>
                  </w:tcBorders>
                  <w:vAlign w:val="center"/>
                </w:tcPr>
                <w:p w14:paraId="7E08C291">
                  <w:pPr>
                    <w:pStyle w:val="16"/>
                    <w:jc w:val="center"/>
                    <w:rPr>
                      <w:color w:val="auto"/>
                    </w:rPr>
                  </w:pPr>
                  <w:r>
                    <w:rPr>
                      <w:color w:val="auto"/>
                    </w:rPr>
                    <w:t>监测结果</w:t>
                  </w:r>
                  <w:r>
                    <w:rPr>
                      <w:rFonts w:hint="eastAsia"/>
                      <w:color w:val="auto"/>
                    </w:rPr>
                    <w:t>（</w:t>
                  </w:r>
                  <w:r>
                    <w:rPr>
                      <w:color w:val="auto"/>
                    </w:rPr>
                    <w:t>等效声级</w:t>
                  </w:r>
                  <w:r>
                    <w:rPr>
                      <w:rFonts w:hint="eastAsia"/>
                      <w:color w:val="auto"/>
                    </w:rPr>
                    <w:t>〔</w:t>
                  </w:r>
                  <w:r>
                    <w:rPr>
                      <w:color w:val="auto"/>
                    </w:rPr>
                    <w:t>LeqdB（A</w:t>
                  </w:r>
                  <w:r>
                    <w:rPr>
                      <w:rFonts w:hint="eastAsia"/>
                      <w:color w:val="auto"/>
                    </w:rPr>
                    <w:t>）〕，</w:t>
                  </w:r>
                  <w:r>
                    <w:rPr>
                      <w:color w:val="auto"/>
                    </w:rPr>
                    <w:t>昼间</w:t>
                  </w:r>
                  <w:r>
                    <w:rPr>
                      <w:rFonts w:hint="eastAsia"/>
                      <w:color w:val="auto"/>
                    </w:rPr>
                    <w:t>）</w:t>
                  </w:r>
                </w:p>
              </w:tc>
              <w:tc>
                <w:tcPr>
                  <w:tcW w:w="914" w:type="pct"/>
                  <w:tcBorders>
                    <w:tl2br w:val="nil"/>
                    <w:tr2bl w:val="nil"/>
                  </w:tcBorders>
                  <w:vAlign w:val="center"/>
                </w:tcPr>
                <w:p w14:paraId="311D39AD">
                  <w:pPr>
                    <w:pStyle w:val="16"/>
                    <w:jc w:val="center"/>
                    <w:rPr>
                      <w:color w:val="auto"/>
                    </w:rPr>
                  </w:pPr>
                  <w:r>
                    <w:rPr>
                      <w:color w:val="auto"/>
                    </w:rPr>
                    <w:t>标准限值</w:t>
                  </w:r>
                </w:p>
              </w:tc>
            </w:tr>
            <w:tr w14:paraId="1D26EE4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restart"/>
                  <w:tcBorders>
                    <w:tl2br w:val="nil"/>
                    <w:tr2bl w:val="nil"/>
                  </w:tcBorders>
                  <w:vAlign w:val="center"/>
                </w:tcPr>
                <w:p w14:paraId="60498768">
                  <w:pPr>
                    <w:pStyle w:val="16"/>
                    <w:jc w:val="center"/>
                    <w:rPr>
                      <w:color w:val="auto"/>
                    </w:rPr>
                  </w:pPr>
                  <w:r>
                    <w:rPr>
                      <w:rFonts w:hint="eastAsia"/>
                      <w:color w:val="auto"/>
                    </w:rPr>
                    <w:t>声</w:t>
                  </w:r>
                  <w:r>
                    <w:rPr>
                      <w:color w:val="auto"/>
                    </w:rPr>
                    <w:t>环境</w:t>
                  </w:r>
                </w:p>
              </w:tc>
              <w:tc>
                <w:tcPr>
                  <w:tcW w:w="839" w:type="pct"/>
                  <w:vMerge w:val="restart"/>
                  <w:tcBorders>
                    <w:tl2br w:val="nil"/>
                    <w:tr2bl w:val="nil"/>
                  </w:tcBorders>
                  <w:vAlign w:val="center"/>
                </w:tcPr>
                <w:p w14:paraId="7FDC82DC">
                  <w:pPr>
                    <w:pStyle w:val="16"/>
                    <w:jc w:val="center"/>
                    <w:rPr>
                      <w:color w:val="auto"/>
                    </w:rPr>
                  </w:pPr>
                  <w:r>
                    <w:rPr>
                      <w:color w:val="auto"/>
                    </w:rPr>
                    <w:t>202</w:t>
                  </w:r>
                  <w:r>
                    <w:rPr>
                      <w:rFonts w:hint="eastAsia"/>
                      <w:color w:val="auto"/>
                    </w:rPr>
                    <w:t>5</w:t>
                  </w:r>
                  <w:r>
                    <w:rPr>
                      <w:color w:val="auto"/>
                    </w:rPr>
                    <w:t>.</w:t>
                  </w:r>
                  <w:r>
                    <w:rPr>
                      <w:rFonts w:hint="eastAsia"/>
                      <w:color w:val="auto"/>
                    </w:rPr>
                    <w:t>8</w:t>
                  </w:r>
                  <w:r>
                    <w:rPr>
                      <w:color w:val="auto"/>
                    </w:rPr>
                    <w:t>.</w:t>
                  </w:r>
                  <w:r>
                    <w:rPr>
                      <w:rFonts w:hint="eastAsia"/>
                      <w:color w:val="auto"/>
                    </w:rPr>
                    <w:t>19</w:t>
                  </w:r>
                </w:p>
              </w:tc>
              <w:tc>
                <w:tcPr>
                  <w:tcW w:w="953" w:type="pct"/>
                  <w:tcBorders>
                    <w:tl2br w:val="nil"/>
                    <w:tr2bl w:val="nil"/>
                  </w:tcBorders>
                  <w:vAlign w:val="center"/>
                </w:tcPr>
                <w:p w14:paraId="49952935">
                  <w:pPr>
                    <w:pStyle w:val="16"/>
                    <w:jc w:val="center"/>
                    <w:rPr>
                      <w:color w:val="auto"/>
                    </w:rPr>
                  </w:pPr>
                  <w:r>
                    <w:rPr>
                      <w:color w:val="auto"/>
                    </w:rPr>
                    <w:t>1#</w:t>
                  </w:r>
                </w:p>
              </w:tc>
              <w:tc>
                <w:tcPr>
                  <w:tcW w:w="1612" w:type="pct"/>
                  <w:tcBorders>
                    <w:tl2br w:val="nil"/>
                    <w:tr2bl w:val="nil"/>
                  </w:tcBorders>
                  <w:vAlign w:val="center"/>
                </w:tcPr>
                <w:p w14:paraId="7A5AB6AF">
                  <w:pPr>
                    <w:pStyle w:val="16"/>
                    <w:jc w:val="center"/>
                    <w:rPr>
                      <w:color w:val="auto"/>
                    </w:rPr>
                  </w:pPr>
                  <w:r>
                    <w:rPr>
                      <w:rFonts w:hint="eastAsia"/>
                      <w:color w:val="auto"/>
                    </w:rPr>
                    <w:t>54</w:t>
                  </w:r>
                </w:p>
              </w:tc>
              <w:tc>
                <w:tcPr>
                  <w:tcW w:w="914" w:type="pct"/>
                  <w:vMerge w:val="restart"/>
                  <w:tcBorders>
                    <w:tl2br w:val="nil"/>
                    <w:tr2bl w:val="nil"/>
                  </w:tcBorders>
                  <w:vAlign w:val="center"/>
                </w:tcPr>
                <w:p w14:paraId="051F4F04">
                  <w:pPr>
                    <w:pStyle w:val="16"/>
                    <w:jc w:val="center"/>
                    <w:rPr>
                      <w:color w:val="auto"/>
                    </w:rPr>
                  </w:pPr>
                  <w:r>
                    <w:rPr>
                      <w:color w:val="auto"/>
                    </w:rPr>
                    <w:t>昼间：6</w:t>
                  </w:r>
                  <w:r>
                    <w:rPr>
                      <w:rFonts w:hint="eastAsia"/>
                      <w:color w:val="auto"/>
                    </w:rPr>
                    <w:t>0</w:t>
                  </w:r>
                  <w:r>
                    <w:rPr>
                      <w:color w:val="auto"/>
                    </w:rPr>
                    <w:t>dB（A</w:t>
                  </w:r>
                  <w:r>
                    <w:rPr>
                      <w:rFonts w:hint="eastAsia"/>
                      <w:color w:val="auto"/>
                    </w:rPr>
                    <w:t>）</w:t>
                  </w:r>
                </w:p>
              </w:tc>
            </w:tr>
            <w:tr w14:paraId="4DADDC0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798EBDA7">
                  <w:pPr>
                    <w:pStyle w:val="16"/>
                    <w:jc w:val="center"/>
                    <w:rPr>
                      <w:color w:val="auto"/>
                    </w:rPr>
                  </w:pPr>
                </w:p>
              </w:tc>
              <w:tc>
                <w:tcPr>
                  <w:tcW w:w="839" w:type="pct"/>
                  <w:vMerge w:val="continue"/>
                  <w:tcBorders>
                    <w:tl2br w:val="nil"/>
                    <w:tr2bl w:val="nil"/>
                  </w:tcBorders>
                  <w:vAlign w:val="center"/>
                </w:tcPr>
                <w:p w14:paraId="740E968B">
                  <w:pPr>
                    <w:pStyle w:val="16"/>
                    <w:jc w:val="center"/>
                    <w:rPr>
                      <w:color w:val="auto"/>
                    </w:rPr>
                  </w:pPr>
                </w:p>
              </w:tc>
              <w:tc>
                <w:tcPr>
                  <w:tcW w:w="953" w:type="pct"/>
                  <w:tcBorders>
                    <w:tl2br w:val="nil"/>
                    <w:tr2bl w:val="nil"/>
                  </w:tcBorders>
                  <w:vAlign w:val="center"/>
                </w:tcPr>
                <w:p w14:paraId="6EB23B78">
                  <w:pPr>
                    <w:pStyle w:val="16"/>
                    <w:jc w:val="center"/>
                    <w:rPr>
                      <w:color w:val="auto"/>
                    </w:rPr>
                  </w:pPr>
                  <w:r>
                    <w:rPr>
                      <w:color w:val="auto"/>
                    </w:rPr>
                    <w:t>2#</w:t>
                  </w:r>
                </w:p>
              </w:tc>
              <w:tc>
                <w:tcPr>
                  <w:tcW w:w="1612" w:type="pct"/>
                  <w:tcBorders>
                    <w:tl2br w:val="nil"/>
                    <w:tr2bl w:val="nil"/>
                  </w:tcBorders>
                  <w:vAlign w:val="center"/>
                </w:tcPr>
                <w:p w14:paraId="46A056DD">
                  <w:pPr>
                    <w:pStyle w:val="16"/>
                    <w:jc w:val="center"/>
                    <w:rPr>
                      <w:color w:val="auto"/>
                    </w:rPr>
                  </w:pPr>
                  <w:r>
                    <w:rPr>
                      <w:rFonts w:hint="eastAsia"/>
                      <w:color w:val="auto"/>
                    </w:rPr>
                    <w:t>46</w:t>
                  </w:r>
                </w:p>
              </w:tc>
              <w:tc>
                <w:tcPr>
                  <w:tcW w:w="914" w:type="pct"/>
                  <w:vMerge w:val="continue"/>
                  <w:tcBorders>
                    <w:tl2br w:val="nil"/>
                    <w:tr2bl w:val="nil"/>
                  </w:tcBorders>
                  <w:vAlign w:val="center"/>
                </w:tcPr>
                <w:p w14:paraId="10314843">
                  <w:pPr>
                    <w:pStyle w:val="16"/>
                    <w:jc w:val="center"/>
                    <w:rPr>
                      <w:color w:val="auto"/>
                    </w:rPr>
                  </w:pPr>
                </w:p>
              </w:tc>
            </w:tr>
            <w:tr w14:paraId="027EF56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21DDC58B">
                  <w:pPr>
                    <w:pStyle w:val="16"/>
                    <w:jc w:val="center"/>
                    <w:rPr>
                      <w:color w:val="auto"/>
                    </w:rPr>
                  </w:pPr>
                </w:p>
              </w:tc>
              <w:tc>
                <w:tcPr>
                  <w:tcW w:w="839" w:type="pct"/>
                  <w:vMerge w:val="continue"/>
                  <w:tcBorders>
                    <w:tl2br w:val="nil"/>
                    <w:tr2bl w:val="nil"/>
                  </w:tcBorders>
                  <w:vAlign w:val="center"/>
                </w:tcPr>
                <w:p w14:paraId="53F01B4B">
                  <w:pPr>
                    <w:pStyle w:val="16"/>
                    <w:jc w:val="center"/>
                    <w:rPr>
                      <w:color w:val="auto"/>
                    </w:rPr>
                  </w:pPr>
                </w:p>
              </w:tc>
              <w:tc>
                <w:tcPr>
                  <w:tcW w:w="953" w:type="pct"/>
                  <w:tcBorders>
                    <w:tl2br w:val="nil"/>
                    <w:tr2bl w:val="nil"/>
                  </w:tcBorders>
                  <w:vAlign w:val="center"/>
                </w:tcPr>
                <w:p w14:paraId="3D53F61F">
                  <w:pPr>
                    <w:pStyle w:val="16"/>
                    <w:jc w:val="center"/>
                    <w:rPr>
                      <w:color w:val="auto"/>
                    </w:rPr>
                  </w:pPr>
                  <w:r>
                    <w:rPr>
                      <w:color w:val="auto"/>
                    </w:rPr>
                    <w:t>3#</w:t>
                  </w:r>
                </w:p>
              </w:tc>
              <w:tc>
                <w:tcPr>
                  <w:tcW w:w="1612" w:type="pct"/>
                  <w:tcBorders>
                    <w:tl2br w:val="nil"/>
                    <w:tr2bl w:val="nil"/>
                  </w:tcBorders>
                  <w:vAlign w:val="center"/>
                </w:tcPr>
                <w:p w14:paraId="5915CFFD">
                  <w:pPr>
                    <w:pStyle w:val="16"/>
                    <w:jc w:val="center"/>
                    <w:rPr>
                      <w:color w:val="auto"/>
                    </w:rPr>
                  </w:pPr>
                  <w:r>
                    <w:rPr>
                      <w:rFonts w:hint="eastAsia"/>
                      <w:color w:val="auto"/>
                    </w:rPr>
                    <w:t>52</w:t>
                  </w:r>
                </w:p>
              </w:tc>
              <w:tc>
                <w:tcPr>
                  <w:tcW w:w="914" w:type="pct"/>
                  <w:vMerge w:val="continue"/>
                  <w:tcBorders>
                    <w:tl2br w:val="nil"/>
                    <w:tr2bl w:val="nil"/>
                  </w:tcBorders>
                  <w:vAlign w:val="center"/>
                </w:tcPr>
                <w:p w14:paraId="34D8F6C0">
                  <w:pPr>
                    <w:pStyle w:val="16"/>
                    <w:jc w:val="center"/>
                    <w:rPr>
                      <w:color w:val="auto"/>
                    </w:rPr>
                  </w:pPr>
                </w:p>
              </w:tc>
            </w:tr>
            <w:tr w14:paraId="3865D96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5B9A099F">
                  <w:pPr>
                    <w:pStyle w:val="16"/>
                    <w:jc w:val="center"/>
                    <w:rPr>
                      <w:color w:val="auto"/>
                    </w:rPr>
                  </w:pPr>
                </w:p>
              </w:tc>
              <w:tc>
                <w:tcPr>
                  <w:tcW w:w="839" w:type="pct"/>
                  <w:vMerge w:val="continue"/>
                  <w:tcBorders>
                    <w:tl2br w:val="nil"/>
                    <w:tr2bl w:val="nil"/>
                  </w:tcBorders>
                  <w:vAlign w:val="center"/>
                </w:tcPr>
                <w:p w14:paraId="3F700D5A">
                  <w:pPr>
                    <w:pStyle w:val="16"/>
                    <w:jc w:val="center"/>
                    <w:rPr>
                      <w:color w:val="auto"/>
                    </w:rPr>
                  </w:pPr>
                </w:p>
              </w:tc>
              <w:tc>
                <w:tcPr>
                  <w:tcW w:w="953" w:type="pct"/>
                  <w:tcBorders>
                    <w:tl2br w:val="nil"/>
                    <w:tr2bl w:val="nil"/>
                  </w:tcBorders>
                  <w:vAlign w:val="center"/>
                </w:tcPr>
                <w:p w14:paraId="48BD1873">
                  <w:pPr>
                    <w:pStyle w:val="16"/>
                    <w:jc w:val="center"/>
                    <w:rPr>
                      <w:color w:val="auto"/>
                    </w:rPr>
                  </w:pPr>
                  <w:r>
                    <w:rPr>
                      <w:color w:val="auto"/>
                    </w:rPr>
                    <w:t>4#</w:t>
                  </w:r>
                </w:p>
              </w:tc>
              <w:tc>
                <w:tcPr>
                  <w:tcW w:w="1612" w:type="pct"/>
                  <w:tcBorders>
                    <w:tl2br w:val="nil"/>
                    <w:tr2bl w:val="nil"/>
                  </w:tcBorders>
                  <w:vAlign w:val="center"/>
                </w:tcPr>
                <w:p w14:paraId="195FDD0E">
                  <w:pPr>
                    <w:pStyle w:val="16"/>
                    <w:jc w:val="center"/>
                    <w:rPr>
                      <w:color w:val="auto"/>
                    </w:rPr>
                  </w:pPr>
                  <w:r>
                    <w:rPr>
                      <w:rFonts w:hint="eastAsia"/>
                      <w:color w:val="auto"/>
                    </w:rPr>
                    <w:t>54</w:t>
                  </w:r>
                </w:p>
              </w:tc>
              <w:tc>
                <w:tcPr>
                  <w:tcW w:w="914" w:type="pct"/>
                  <w:vMerge w:val="continue"/>
                  <w:tcBorders>
                    <w:tl2br w:val="nil"/>
                    <w:tr2bl w:val="nil"/>
                  </w:tcBorders>
                  <w:vAlign w:val="center"/>
                </w:tcPr>
                <w:p w14:paraId="0DB01D6F">
                  <w:pPr>
                    <w:pStyle w:val="16"/>
                    <w:jc w:val="center"/>
                    <w:rPr>
                      <w:color w:val="auto"/>
                    </w:rPr>
                  </w:pPr>
                </w:p>
              </w:tc>
            </w:tr>
            <w:tr w14:paraId="71774F2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36523975">
                  <w:pPr>
                    <w:pStyle w:val="16"/>
                    <w:jc w:val="center"/>
                    <w:rPr>
                      <w:color w:val="auto"/>
                    </w:rPr>
                  </w:pPr>
                </w:p>
              </w:tc>
              <w:tc>
                <w:tcPr>
                  <w:tcW w:w="839" w:type="pct"/>
                  <w:vMerge w:val="continue"/>
                  <w:tcBorders>
                    <w:tl2br w:val="nil"/>
                    <w:tr2bl w:val="nil"/>
                  </w:tcBorders>
                  <w:vAlign w:val="center"/>
                </w:tcPr>
                <w:p w14:paraId="0B730CB5">
                  <w:pPr>
                    <w:pStyle w:val="16"/>
                    <w:jc w:val="center"/>
                    <w:rPr>
                      <w:color w:val="auto"/>
                    </w:rPr>
                  </w:pPr>
                </w:p>
              </w:tc>
              <w:tc>
                <w:tcPr>
                  <w:tcW w:w="953" w:type="pct"/>
                  <w:tcBorders>
                    <w:tl2br w:val="nil"/>
                    <w:tr2bl w:val="nil"/>
                  </w:tcBorders>
                  <w:vAlign w:val="center"/>
                </w:tcPr>
                <w:p w14:paraId="57BB2F01">
                  <w:pPr>
                    <w:pStyle w:val="16"/>
                    <w:jc w:val="center"/>
                    <w:rPr>
                      <w:color w:val="auto"/>
                    </w:rPr>
                  </w:pPr>
                  <w:r>
                    <w:rPr>
                      <w:rFonts w:hint="eastAsia"/>
                      <w:color w:val="auto"/>
                    </w:rPr>
                    <w:t>5#</w:t>
                  </w:r>
                </w:p>
              </w:tc>
              <w:tc>
                <w:tcPr>
                  <w:tcW w:w="1612" w:type="pct"/>
                  <w:tcBorders>
                    <w:tl2br w:val="nil"/>
                    <w:tr2bl w:val="nil"/>
                  </w:tcBorders>
                  <w:vAlign w:val="center"/>
                </w:tcPr>
                <w:p w14:paraId="43071C7E">
                  <w:pPr>
                    <w:pStyle w:val="16"/>
                    <w:jc w:val="center"/>
                    <w:rPr>
                      <w:color w:val="auto"/>
                    </w:rPr>
                  </w:pPr>
                  <w:r>
                    <w:rPr>
                      <w:rFonts w:hint="eastAsia"/>
                      <w:color w:val="auto"/>
                    </w:rPr>
                    <w:t>48</w:t>
                  </w:r>
                </w:p>
              </w:tc>
              <w:tc>
                <w:tcPr>
                  <w:tcW w:w="914" w:type="pct"/>
                  <w:vMerge w:val="continue"/>
                  <w:tcBorders>
                    <w:tl2br w:val="nil"/>
                    <w:tr2bl w:val="nil"/>
                  </w:tcBorders>
                  <w:vAlign w:val="center"/>
                </w:tcPr>
                <w:p w14:paraId="02DCF388">
                  <w:pPr>
                    <w:pStyle w:val="16"/>
                    <w:jc w:val="center"/>
                    <w:rPr>
                      <w:color w:val="auto"/>
                    </w:rPr>
                  </w:pPr>
                </w:p>
              </w:tc>
            </w:tr>
            <w:tr w14:paraId="4D4B049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092414C4">
                  <w:pPr>
                    <w:pStyle w:val="16"/>
                    <w:jc w:val="center"/>
                    <w:rPr>
                      <w:color w:val="auto"/>
                    </w:rPr>
                  </w:pPr>
                </w:p>
              </w:tc>
              <w:tc>
                <w:tcPr>
                  <w:tcW w:w="839" w:type="pct"/>
                  <w:vMerge w:val="continue"/>
                  <w:tcBorders>
                    <w:tl2br w:val="nil"/>
                    <w:tr2bl w:val="nil"/>
                  </w:tcBorders>
                  <w:vAlign w:val="center"/>
                </w:tcPr>
                <w:p w14:paraId="483D50FC">
                  <w:pPr>
                    <w:pStyle w:val="16"/>
                    <w:jc w:val="center"/>
                    <w:rPr>
                      <w:color w:val="auto"/>
                    </w:rPr>
                  </w:pPr>
                </w:p>
              </w:tc>
              <w:tc>
                <w:tcPr>
                  <w:tcW w:w="953" w:type="pct"/>
                  <w:tcBorders>
                    <w:tl2br w:val="nil"/>
                    <w:tr2bl w:val="nil"/>
                  </w:tcBorders>
                  <w:vAlign w:val="center"/>
                </w:tcPr>
                <w:p w14:paraId="7358ACB5">
                  <w:pPr>
                    <w:pStyle w:val="16"/>
                    <w:jc w:val="center"/>
                    <w:rPr>
                      <w:color w:val="auto"/>
                    </w:rPr>
                  </w:pPr>
                  <w:r>
                    <w:rPr>
                      <w:rFonts w:hint="eastAsia"/>
                      <w:color w:val="auto"/>
                    </w:rPr>
                    <w:t>6</w:t>
                  </w:r>
                  <w:r>
                    <w:rPr>
                      <w:color w:val="auto"/>
                    </w:rPr>
                    <w:t>#</w:t>
                  </w:r>
                </w:p>
              </w:tc>
              <w:tc>
                <w:tcPr>
                  <w:tcW w:w="1612" w:type="pct"/>
                  <w:tcBorders>
                    <w:tl2br w:val="nil"/>
                    <w:tr2bl w:val="nil"/>
                  </w:tcBorders>
                  <w:vAlign w:val="center"/>
                </w:tcPr>
                <w:p w14:paraId="2BE6A1CD">
                  <w:pPr>
                    <w:pStyle w:val="16"/>
                    <w:jc w:val="center"/>
                    <w:rPr>
                      <w:color w:val="auto"/>
                    </w:rPr>
                  </w:pPr>
                  <w:r>
                    <w:rPr>
                      <w:rFonts w:hint="eastAsia"/>
                      <w:color w:val="auto"/>
                    </w:rPr>
                    <w:t>51</w:t>
                  </w:r>
                </w:p>
              </w:tc>
              <w:tc>
                <w:tcPr>
                  <w:tcW w:w="914" w:type="pct"/>
                  <w:vMerge w:val="continue"/>
                  <w:tcBorders>
                    <w:tl2br w:val="nil"/>
                    <w:tr2bl w:val="nil"/>
                  </w:tcBorders>
                  <w:vAlign w:val="center"/>
                </w:tcPr>
                <w:p w14:paraId="49DA0DAA">
                  <w:pPr>
                    <w:pStyle w:val="16"/>
                    <w:jc w:val="center"/>
                    <w:rPr>
                      <w:color w:val="auto"/>
                    </w:rPr>
                  </w:pPr>
                </w:p>
              </w:tc>
            </w:tr>
            <w:tr w14:paraId="383442A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51FB8917">
                  <w:pPr>
                    <w:pStyle w:val="16"/>
                    <w:jc w:val="center"/>
                    <w:rPr>
                      <w:color w:val="auto"/>
                    </w:rPr>
                  </w:pPr>
                </w:p>
              </w:tc>
              <w:tc>
                <w:tcPr>
                  <w:tcW w:w="839" w:type="pct"/>
                  <w:vMerge w:val="continue"/>
                  <w:tcBorders>
                    <w:tl2br w:val="nil"/>
                    <w:tr2bl w:val="nil"/>
                  </w:tcBorders>
                  <w:vAlign w:val="center"/>
                </w:tcPr>
                <w:p w14:paraId="39C723B4">
                  <w:pPr>
                    <w:pStyle w:val="16"/>
                    <w:jc w:val="center"/>
                    <w:rPr>
                      <w:color w:val="auto"/>
                    </w:rPr>
                  </w:pPr>
                </w:p>
              </w:tc>
              <w:tc>
                <w:tcPr>
                  <w:tcW w:w="953" w:type="pct"/>
                  <w:tcBorders>
                    <w:tl2br w:val="nil"/>
                    <w:tr2bl w:val="nil"/>
                  </w:tcBorders>
                  <w:vAlign w:val="center"/>
                </w:tcPr>
                <w:p w14:paraId="27B17CE5">
                  <w:pPr>
                    <w:pStyle w:val="16"/>
                    <w:jc w:val="center"/>
                    <w:rPr>
                      <w:color w:val="auto"/>
                    </w:rPr>
                  </w:pPr>
                  <w:r>
                    <w:rPr>
                      <w:rFonts w:hint="eastAsia"/>
                      <w:color w:val="auto"/>
                    </w:rPr>
                    <w:t>7</w:t>
                  </w:r>
                  <w:r>
                    <w:rPr>
                      <w:color w:val="auto"/>
                    </w:rPr>
                    <w:t>#</w:t>
                  </w:r>
                </w:p>
              </w:tc>
              <w:tc>
                <w:tcPr>
                  <w:tcW w:w="1612" w:type="pct"/>
                  <w:tcBorders>
                    <w:tl2br w:val="nil"/>
                    <w:tr2bl w:val="nil"/>
                  </w:tcBorders>
                  <w:vAlign w:val="center"/>
                </w:tcPr>
                <w:p w14:paraId="5F112220">
                  <w:pPr>
                    <w:pStyle w:val="16"/>
                    <w:jc w:val="center"/>
                    <w:rPr>
                      <w:color w:val="auto"/>
                    </w:rPr>
                  </w:pPr>
                  <w:r>
                    <w:rPr>
                      <w:rFonts w:hint="eastAsia"/>
                      <w:color w:val="auto"/>
                    </w:rPr>
                    <w:t>52</w:t>
                  </w:r>
                </w:p>
              </w:tc>
              <w:tc>
                <w:tcPr>
                  <w:tcW w:w="914" w:type="pct"/>
                  <w:vMerge w:val="continue"/>
                  <w:tcBorders>
                    <w:tl2br w:val="nil"/>
                    <w:tr2bl w:val="nil"/>
                  </w:tcBorders>
                  <w:vAlign w:val="center"/>
                </w:tcPr>
                <w:p w14:paraId="2F5703A9">
                  <w:pPr>
                    <w:pStyle w:val="16"/>
                    <w:jc w:val="center"/>
                    <w:rPr>
                      <w:color w:val="auto"/>
                    </w:rPr>
                  </w:pPr>
                </w:p>
              </w:tc>
            </w:tr>
            <w:tr w14:paraId="4AD6AED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47EE262F">
                  <w:pPr>
                    <w:pStyle w:val="16"/>
                    <w:jc w:val="center"/>
                    <w:rPr>
                      <w:color w:val="auto"/>
                    </w:rPr>
                  </w:pPr>
                </w:p>
              </w:tc>
              <w:tc>
                <w:tcPr>
                  <w:tcW w:w="839" w:type="pct"/>
                  <w:vMerge w:val="continue"/>
                  <w:tcBorders>
                    <w:tl2br w:val="nil"/>
                    <w:tr2bl w:val="nil"/>
                  </w:tcBorders>
                  <w:vAlign w:val="center"/>
                </w:tcPr>
                <w:p w14:paraId="163BBC48">
                  <w:pPr>
                    <w:pStyle w:val="16"/>
                    <w:jc w:val="center"/>
                    <w:rPr>
                      <w:color w:val="auto"/>
                    </w:rPr>
                  </w:pPr>
                </w:p>
              </w:tc>
              <w:tc>
                <w:tcPr>
                  <w:tcW w:w="953" w:type="pct"/>
                  <w:tcBorders>
                    <w:tl2br w:val="nil"/>
                    <w:tr2bl w:val="nil"/>
                  </w:tcBorders>
                  <w:vAlign w:val="center"/>
                </w:tcPr>
                <w:p w14:paraId="0CB2DC84">
                  <w:pPr>
                    <w:pStyle w:val="16"/>
                    <w:jc w:val="center"/>
                    <w:rPr>
                      <w:color w:val="auto"/>
                    </w:rPr>
                  </w:pPr>
                  <w:r>
                    <w:rPr>
                      <w:rFonts w:hint="eastAsia"/>
                      <w:color w:val="auto"/>
                    </w:rPr>
                    <w:t>8</w:t>
                  </w:r>
                  <w:r>
                    <w:rPr>
                      <w:color w:val="auto"/>
                    </w:rPr>
                    <w:t>#</w:t>
                  </w:r>
                </w:p>
              </w:tc>
              <w:tc>
                <w:tcPr>
                  <w:tcW w:w="1612" w:type="pct"/>
                  <w:tcBorders>
                    <w:tl2br w:val="nil"/>
                    <w:tr2bl w:val="nil"/>
                  </w:tcBorders>
                  <w:vAlign w:val="center"/>
                </w:tcPr>
                <w:p w14:paraId="44C27CEF">
                  <w:pPr>
                    <w:pStyle w:val="16"/>
                    <w:jc w:val="center"/>
                    <w:rPr>
                      <w:color w:val="auto"/>
                    </w:rPr>
                  </w:pPr>
                  <w:r>
                    <w:rPr>
                      <w:rFonts w:hint="eastAsia"/>
                      <w:color w:val="auto"/>
                    </w:rPr>
                    <w:t>54</w:t>
                  </w:r>
                </w:p>
              </w:tc>
              <w:tc>
                <w:tcPr>
                  <w:tcW w:w="914" w:type="pct"/>
                  <w:vMerge w:val="continue"/>
                  <w:tcBorders>
                    <w:tl2br w:val="nil"/>
                    <w:tr2bl w:val="nil"/>
                  </w:tcBorders>
                  <w:vAlign w:val="center"/>
                </w:tcPr>
                <w:p w14:paraId="743FB383">
                  <w:pPr>
                    <w:pStyle w:val="16"/>
                    <w:jc w:val="center"/>
                    <w:rPr>
                      <w:color w:val="auto"/>
                    </w:rPr>
                  </w:pPr>
                </w:p>
              </w:tc>
            </w:tr>
            <w:tr w14:paraId="4AF6409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28FF1AF2">
                  <w:pPr>
                    <w:pStyle w:val="16"/>
                    <w:jc w:val="center"/>
                    <w:rPr>
                      <w:color w:val="auto"/>
                    </w:rPr>
                  </w:pPr>
                </w:p>
              </w:tc>
              <w:tc>
                <w:tcPr>
                  <w:tcW w:w="839" w:type="pct"/>
                  <w:vMerge w:val="continue"/>
                  <w:tcBorders>
                    <w:tl2br w:val="nil"/>
                    <w:tr2bl w:val="nil"/>
                  </w:tcBorders>
                  <w:vAlign w:val="center"/>
                </w:tcPr>
                <w:p w14:paraId="5DB97467">
                  <w:pPr>
                    <w:pStyle w:val="16"/>
                    <w:jc w:val="center"/>
                    <w:rPr>
                      <w:color w:val="auto"/>
                    </w:rPr>
                  </w:pPr>
                </w:p>
              </w:tc>
              <w:tc>
                <w:tcPr>
                  <w:tcW w:w="953" w:type="pct"/>
                  <w:tcBorders>
                    <w:tl2br w:val="nil"/>
                    <w:tr2bl w:val="nil"/>
                  </w:tcBorders>
                  <w:vAlign w:val="center"/>
                </w:tcPr>
                <w:p w14:paraId="2EB37FFE">
                  <w:pPr>
                    <w:pStyle w:val="16"/>
                    <w:jc w:val="center"/>
                    <w:rPr>
                      <w:color w:val="auto"/>
                    </w:rPr>
                  </w:pPr>
                  <w:r>
                    <w:rPr>
                      <w:rFonts w:hint="eastAsia"/>
                      <w:color w:val="auto"/>
                    </w:rPr>
                    <w:t>9</w:t>
                  </w:r>
                  <w:r>
                    <w:rPr>
                      <w:color w:val="auto"/>
                    </w:rPr>
                    <w:t>#</w:t>
                  </w:r>
                </w:p>
              </w:tc>
              <w:tc>
                <w:tcPr>
                  <w:tcW w:w="1612" w:type="pct"/>
                  <w:tcBorders>
                    <w:tl2br w:val="nil"/>
                    <w:tr2bl w:val="nil"/>
                  </w:tcBorders>
                  <w:vAlign w:val="center"/>
                </w:tcPr>
                <w:p w14:paraId="3741EE51">
                  <w:pPr>
                    <w:pStyle w:val="16"/>
                    <w:jc w:val="center"/>
                    <w:rPr>
                      <w:color w:val="auto"/>
                    </w:rPr>
                  </w:pPr>
                  <w:r>
                    <w:rPr>
                      <w:rFonts w:hint="eastAsia"/>
                      <w:color w:val="auto"/>
                    </w:rPr>
                    <w:t>56</w:t>
                  </w:r>
                </w:p>
              </w:tc>
              <w:tc>
                <w:tcPr>
                  <w:tcW w:w="914" w:type="pct"/>
                  <w:vMerge w:val="continue"/>
                  <w:tcBorders>
                    <w:tl2br w:val="nil"/>
                    <w:tr2bl w:val="nil"/>
                  </w:tcBorders>
                  <w:vAlign w:val="center"/>
                </w:tcPr>
                <w:p w14:paraId="7760785B">
                  <w:pPr>
                    <w:pStyle w:val="16"/>
                    <w:jc w:val="center"/>
                    <w:rPr>
                      <w:color w:val="auto"/>
                    </w:rPr>
                  </w:pPr>
                </w:p>
              </w:tc>
            </w:tr>
            <w:tr w14:paraId="6F62129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641861FA">
                  <w:pPr>
                    <w:pStyle w:val="16"/>
                    <w:jc w:val="center"/>
                    <w:rPr>
                      <w:color w:val="auto"/>
                    </w:rPr>
                  </w:pPr>
                </w:p>
              </w:tc>
              <w:tc>
                <w:tcPr>
                  <w:tcW w:w="839" w:type="pct"/>
                  <w:vMerge w:val="continue"/>
                  <w:tcBorders>
                    <w:tl2br w:val="nil"/>
                    <w:tr2bl w:val="nil"/>
                  </w:tcBorders>
                  <w:vAlign w:val="center"/>
                </w:tcPr>
                <w:p w14:paraId="1673A976">
                  <w:pPr>
                    <w:pStyle w:val="16"/>
                    <w:jc w:val="center"/>
                    <w:rPr>
                      <w:color w:val="auto"/>
                    </w:rPr>
                  </w:pPr>
                </w:p>
              </w:tc>
              <w:tc>
                <w:tcPr>
                  <w:tcW w:w="953" w:type="pct"/>
                  <w:tcBorders>
                    <w:tl2br w:val="nil"/>
                    <w:tr2bl w:val="nil"/>
                  </w:tcBorders>
                  <w:vAlign w:val="center"/>
                </w:tcPr>
                <w:p w14:paraId="6E38CE15">
                  <w:pPr>
                    <w:pStyle w:val="16"/>
                    <w:jc w:val="center"/>
                    <w:rPr>
                      <w:color w:val="auto"/>
                    </w:rPr>
                  </w:pPr>
                  <w:r>
                    <w:rPr>
                      <w:rFonts w:hint="eastAsia"/>
                      <w:color w:val="auto"/>
                    </w:rPr>
                    <w:t>10#</w:t>
                  </w:r>
                </w:p>
              </w:tc>
              <w:tc>
                <w:tcPr>
                  <w:tcW w:w="1612" w:type="pct"/>
                  <w:tcBorders>
                    <w:tl2br w:val="nil"/>
                    <w:tr2bl w:val="nil"/>
                  </w:tcBorders>
                  <w:vAlign w:val="center"/>
                </w:tcPr>
                <w:p w14:paraId="14470101">
                  <w:pPr>
                    <w:pStyle w:val="16"/>
                    <w:jc w:val="center"/>
                    <w:rPr>
                      <w:color w:val="auto"/>
                    </w:rPr>
                  </w:pPr>
                  <w:r>
                    <w:rPr>
                      <w:rFonts w:hint="eastAsia"/>
                      <w:color w:val="auto"/>
                    </w:rPr>
                    <w:t>54</w:t>
                  </w:r>
                </w:p>
              </w:tc>
              <w:tc>
                <w:tcPr>
                  <w:tcW w:w="914" w:type="pct"/>
                  <w:vMerge w:val="continue"/>
                  <w:tcBorders>
                    <w:tl2br w:val="nil"/>
                    <w:tr2bl w:val="nil"/>
                  </w:tcBorders>
                  <w:vAlign w:val="center"/>
                </w:tcPr>
                <w:p w14:paraId="02FE4322">
                  <w:pPr>
                    <w:pStyle w:val="16"/>
                    <w:jc w:val="center"/>
                    <w:rPr>
                      <w:color w:val="auto"/>
                    </w:rPr>
                  </w:pPr>
                </w:p>
              </w:tc>
            </w:tr>
            <w:tr w14:paraId="6F2413B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206F2CC1">
                  <w:pPr>
                    <w:pStyle w:val="16"/>
                    <w:jc w:val="center"/>
                    <w:rPr>
                      <w:color w:val="auto"/>
                    </w:rPr>
                  </w:pPr>
                </w:p>
              </w:tc>
              <w:tc>
                <w:tcPr>
                  <w:tcW w:w="839" w:type="pct"/>
                  <w:vMerge w:val="continue"/>
                  <w:tcBorders>
                    <w:tl2br w:val="nil"/>
                    <w:tr2bl w:val="nil"/>
                  </w:tcBorders>
                  <w:vAlign w:val="center"/>
                </w:tcPr>
                <w:p w14:paraId="6414BE0E">
                  <w:pPr>
                    <w:pStyle w:val="16"/>
                    <w:jc w:val="center"/>
                    <w:rPr>
                      <w:color w:val="auto"/>
                    </w:rPr>
                  </w:pPr>
                </w:p>
              </w:tc>
              <w:tc>
                <w:tcPr>
                  <w:tcW w:w="953" w:type="pct"/>
                  <w:tcBorders>
                    <w:tl2br w:val="nil"/>
                    <w:tr2bl w:val="nil"/>
                  </w:tcBorders>
                  <w:vAlign w:val="center"/>
                </w:tcPr>
                <w:p w14:paraId="0ACC060A">
                  <w:pPr>
                    <w:pStyle w:val="16"/>
                    <w:jc w:val="center"/>
                    <w:rPr>
                      <w:color w:val="auto"/>
                    </w:rPr>
                  </w:pPr>
                  <w:r>
                    <w:rPr>
                      <w:rFonts w:hint="eastAsia"/>
                      <w:color w:val="auto"/>
                    </w:rPr>
                    <w:t>11#</w:t>
                  </w:r>
                </w:p>
              </w:tc>
              <w:tc>
                <w:tcPr>
                  <w:tcW w:w="1612" w:type="pct"/>
                  <w:tcBorders>
                    <w:tl2br w:val="nil"/>
                    <w:tr2bl w:val="nil"/>
                  </w:tcBorders>
                  <w:vAlign w:val="center"/>
                </w:tcPr>
                <w:p w14:paraId="50107723">
                  <w:pPr>
                    <w:pStyle w:val="16"/>
                    <w:jc w:val="center"/>
                    <w:rPr>
                      <w:color w:val="auto"/>
                    </w:rPr>
                  </w:pPr>
                  <w:r>
                    <w:rPr>
                      <w:rFonts w:hint="eastAsia"/>
                      <w:color w:val="auto"/>
                    </w:rPr>
                    <w:t>49</w:t>
                  </w:r>
                </w:p>
              </w:tc>
              <w:tc>
                <w:tcPr>
                  <w:tcW w:w="914" w:type="pct"/>
                  <w:vMerge w:val="continue"/>
                  <w:tcBorders>
                    <w:tl2br w:val="nil"/>
                    <w:tr2bl w:val="nil"/>
                  </w:tcBorders>
                  <w:vAlign w:val="center"/>
                </w:tcPr>
                <w:p w14:paraId="22B75AD3">
                  <w:pPr>
                    <w:pStyle w:val="16"/>
                    <w:jc w:val="center"/>
                    <w:rPr>
                      <w:color w:val="auto"/>
                    </w:rPr>
                  </w:pPr>
                </w:p>
              </w:tc>
            </w:tr>
            <w:tr w14:paraId="4C6786A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83" w:hRule="atLeast"/>
                <w:tblHeader/>
              </w:trPr>
              <w:tc>
                <w:tcPr>
                  <w:tcW w:w="683" w:type="pct"/>
                  <w:vMerge w:val="continue"/>
                  <w:tcBorders>
                    <w:tl2br w:val="nil"/>
                    <w:tr2bl w:val="nil"/>
                  </w:tcBorders>
                  <w:vAlign w:val="center"/>
                </w:tcPr>
                <w:p w14:paraId="56151CC2">
                  <w:pPr>
                    <w:pStyle w:val="16"/>
                    <w:jc w:val="center"/>
                    <w:rPr>
                      <w:color w:val="auto"/>
                    </w:rPr>
                  </w:pPr>
                </w:p>
              </w:tc>
              <w:tc>
                <w:tcPr>
                  <w:tcW w:w="839" w:type="pct"/>
                  <w:vMerge w:val="continue"/>
                  <w:tcBorders>
                    <w:tl2br w:val="nil"/>
                    <w:tr2bl w:val="nil"/>
                  </w:tcBorders>
                  <w:vAlign w:val="center"/>
                </w:tcPr>
                <w:p w14:paraId="02FD3132">
                  <w:pPr>
                    <w:pStyle w:val="16"/>
                    <w:jc w:val="center"/>
                    <w:rPr>
                      <w:color w:val="auto"/>
                    </w:rPr>
                  </w:pPr>
                </w:p>
              </w:tc>
              <w:tc>
                <w:tcPr>
                  <w:tcW w:w="953" w:type="pct"/>
                  <w:tcBorders>
                    <w:tl2br w:val="nil"/>
                    <w:tr2bl w:val="nil"/>
                  </w:tcBorders>
                  <w:vAlign w:val="center"/>
                </w:tcPr>
                <w:p w14:paraId="46550229">
                  <w:pPr>
                    <w:pStyle w:val="16"/>
                    <w:jc w:val="center"/>
                    <w:rPr>
                      <w:color w:val="auto"/>
                    </w:rPr>
                  </w:pPr>
                  <w:r>
                    <w:rPr>
                      <w:rFonts w:hint="eastAsia"/>
                      <w:color w:val="auto"/>
                    </w:rPr>
                    <w:t>12#</w:t>
                  </w:r>
                </w:p>
              </w:tc>
              <w:tc>
                <w:tcPr>
                  <w:tcW w:w="1612" w:type="pct"/>
                  <w:tcBorders>
                    <w:tl2br w:val="nil"/>
                    <w:tr2bl w:val="nil"/>
                  </w:tcBorders>
                  <w:vAlign w:val="center"/>
                </w:tcPr>
                <w:p w14:paraId="4640C52D">
                  <w:pPr>
                    <w:pStyle w:val="16"/>
                    <w:jc w:val="center"/>
                    <w:rPr>
                      <w:color w:val="auto"/>
                    </w:rPr>
                  </w:pPr>
                  <w:r>
                    <w:rPr>
                      <w:rFonts w:hint="eastAsia"/>
                      <w:color w:val="auto"/>
                    </w:rPr>
                    <w:t>56</w:t>
                  </w:r>
                </w:p>
              </w:tc>
              <w:tc>
                <w:tcPr>
                  <w:tcW w:w="914" w:type="pct"/>
                  <w:vMerge w:val="continue"/>
                  <w:tcBorders>
                    <w:tl2br w:val="nil"/>
                    <w:tr2bl w:val="nil"/>
                  </w:tcBorders>
                  <w:vAlign w:val="center"/>
                </w:tcPr>
                <w:p w14:paraId="3DD91781">
                  <w:pPr>
                    <w:pStyle w:val="16"/>
                    <w:jc w:val="center"/>
                    <w:rPr>
                      <w:color w:val="auto"/>
                    </w:rPr>
                  </w:pPr>
                </w:p>
              </w:tc>
            </w:tr>
          </w:tbl>
          <w:p w14:paraId="5828A948">
            <w:pPr>
              <w:ind w:firstLine="480"/>
              <w:rPr>
                <w:color w:val="auto"/>
              </w:rPr>
            </w:pPr>
          </w:p>
          <w:p w14:paraId="3AA4B55E">
            <w:pPr>
              <w:ind w:firstLine="480"/>
              <w:rPr>
                <w:color w:val="auto"/>
              </w:rPr>
            </w:pPr>
            <w:r>
              <w:rPr>
                <w:color w:val="auto"/>
              </w:rPr>
              <w:t>监测结果表明</w:t>
            </w:r>
            <w:r>
              <w:rPr>
                <w:rFonts w:hint="eastAsia"/>
                <w:color w:val="auto"/>
              </w:rPr>
              <w:t>，</w:t>
            </w:r>
            <w:r>
              <w:rPr>
                <w:color w:val="auto"/>
              </w:rPr>
              <w:t>声环境保护目标处噪声监测值符合《声环境质量标准》</w:t>
            </w:r>
            <w:r>
              <w:rPr>
                <w:rFonts w:hint="eastAsia"/>
                <w:color w:val="auto"/>
              </w:rPr>
              <w:t>（</w:t>
            </w:r>
            <w:r>
              <w:rPr>
                <w:color w:val="auto"/>
              </w:rPr>
              <w:t>GB3096-2008</w:t>
            </w:r>
            <w:r>
              <w:rPr>
                <w:rFonts w:hint="eastAsia"/>
                <w:color w:val="auto"/>
              </w:rPr>
              <w:t>）</w:t>
            </w:r>
            <w:r>
              <w:rPr>
                <w:color w:val="auto"/>
              </w:rPr>
              <w:t>中2类标准的要求，区域声学环境质量良好。</w:t>
            </w:r>
          </w:p>
          <w:p w14:paraId="7CC225C3">
            <w:pPr>
              <w:ind w:firstLine="482"/>
              <w:rPr>
                <w:rFonts w:hint="default"/>
                <w:b/>
                <w:bCs/>
                <w:color w:val="auto"/>
                <w:lang w:val="en-US" w:eastAsia="zh-CN"/>
              </w:rPr>
            </w:pPr>
            <w:r>
              <w:rPr>
                <w:rFonts w:hint="eastAsia"/>
                <w:b/>
                <w:bCs/>
                <w:color w:val="auto"/>
                <w:lang w:val="en-US" w:eastAsia="zh-CN"/>
              </w:rPr>
              <w:t>五、区域供水和灌溉现状</w:t>
            </w:r>
          </w:p>
          <w:p w14:paraId="0AB5C30B">
            <w:pPr>
              <w:ind w:firstLine="480"/>
              <w:rPr>
                <w:color w:val="auto"/>
              </w:rPr>
            </w:pPr>
            <w:r>
              <w:rPr>
                <w:rFonts w:hint="eastAsia"/>
                <w:color w:val="auto"/>
              </w:rPr>
              <w:t>现状铁佛镇主要由设计供水规模1.0万m</w:t>
            </w:r>
            <w:r>
              <w:rPr>
                <w:rFonts w:hint="eastAsia"/>
                <w:color w:val="auto"/>
                <w:vertAlign w:val="superscript"/>
              </w:rPr>
              <w:t>3</w:t>
            </w:r>
            <w:r>
              <w:rPr>
                <w:rFonts w:hint="eastAsia"/>
                <w:color w:val="auto"/>
              </w:rPr>
              <w:t>/d的铁佛水厂供水，原水主要取自澌滩河和流里河水库，取水方式以泵站提水为主。澌滩河来水受季节变化影响较大，汛期原水浊度升高，增加了水厂处理难度，突发情况下存在原水供应稳定性不足的风险。铁佛水厂现状供水范围与工程规模尚未充分衔接，受供水人口和管网覆盖范围限制，水厂供水能力未得到充分利用。与之相邻的麻石镇地处山岭地区，周边水库较少且距主要河流较远，现状缺乏稳定、可靠的集中供水水源，部分区域供水保证程度较低，居民生活用水供需矛盾较为突出。现有供水管网尚未实现铁佛镇与麻石镇之间的有效联通，水源配置与区域用水需求不匹配，是当前生活供水系统的主要问题。</w:t>
            </w:r>
          </w:p>
          <w:p w14:paraId="34B76D00">
            <w:pPr>
              <w:ind w:firstLine="480"/>
              <w:rPr>
                <w:color w:val="auto"/>
              </w:rPr>
            </w:pPr>
            <w:r>
              <w:rPr>
                <w:rFonts w:hint="eastAsia"/>
                <w:color w:val="auto"/>
              </w:rPr>
              <w:t>流里河水库和澌溪沟水库灌区的输水工程建设年代较早，原有渠道长期运行后普遍存在垮塌、堵塞、渗漏和局部损毁等问题，部分渠段已难以正常输水，水库蓄水无法稳定输送至田间。两座水库原设计灌溉面积合计13570亩，现状实际灌溉面积合计约3520亩，仅为原设计灌溉面积的25.9%，灌溉供水范围和保障水平明显下降。现状农业生产对降雨及山坪塘、蓄水池等小型水利设施依赖程度较高，枯水期及作物集中需水期工程性缺水问题突出，灌区抗旱保灌能力不足。现状灌区输水方式仍以渠道输水为主，渠道防渗和田间配套设施不完善，输配水损失较大。通江县现状农田灌溉水有效利用系数约为0.495，低于巴中市现状平均水平0.505和全国平均水平0.576，水资源利用效率仍有提升空间。此外，部分山坪塘、蓄水池及末级渠系年久失修，工程运行维护和用水管理相对薄弱，尚未形成从水源、输水干线到田间末端相互衔接的灌溉供水体系，农田灌溉“最后一公里”问题较为突出。</w:t>
            </w:r>
          </w:p>
          <w:p w14:paraId="0A669D7C">
            <w:pPr>
              <w:ind w:firstLine="480"/>
              <w:rPr>
                <w:color w:val="auto"/>
              </w:rPr>
            </w:pPr>
            <w:r>
              <w:rPr>
                <w:rFonts w:hint="eastAsia"/>
                <w:color w:val="auto"/>
              </w:rPr>
              <w:t>综上，项目区水资源现状矛盾并非主要表现为区域水资源总量不足，而是水源稳定性和备用能力不足、输配水设施损毁、供水范围与用水需求不匹配以及水资源利用效率偏低所造成的工程性、季节性缺水。因此，有必要通过完善备用水源、推进供水管网互联、改造灌溉输水设施和加强小型水利工程配套，提高三座水库水资源的综合利用效率及城乡供水和农业灌溉保障能力。</w:t>
            </w:r>
          </w:p>
          <w:p w14:paraId="13926EB0">
            <w:pPr>
              <w:ind w:firstLine="482"/>
              <w:rPr>
                <w:rFonts w:hint="default"/>
                <w:b/>
                <w:bCs/>
                <w:color w:val="auto"/>
                <w:lang w:val="en-US" w:eastAsia="zh-CN"/>
              </w:rPr>
            </w:pPr>
          </w:p>
        </w:tc>
      </w:tr>
      <w:tr w14:paraId="564DE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852" w:type="dxa"/>
            <w:vAlign w:val="center"/>
          </w:tcPr>
          <w:p w14:paraId="1FEAB3CE">
            <w:pPr>
              <w:adjustRightInd w:val="0"/>
              <w:snapToGrid w:val="0"/>
              <w:ind w:firstLine="0" w:firstLineChars="0"/>
              <w:jc w:val="distribute"/>
              <w:rPr>
                <w:color w:val="auto"/>
                <w:kern w:val="0"/>
                <w:sz w:val="20"/>
                <w:szCs w:val="20"/>
              </w:rPr>
            </w:pPr>
            <w:r>
              <w:rPr>
                <w:rFonts w:hint="eastAsia"/>
                <w:color w:val="auto"/>
                <w:kern w:val="0"/>
                <w:sz w:val="21"/>
                <w:szCs w:val="21"/>
              </w:rPr>
              <w:t>与项目有关的原有环境污染和生态破坏问题</w:t>
            </w:r>
          </w:p>
        </w:tc>
        <w:tc>
          <w:tcPr>
            <w:tcW w:w="8305" w:type="dxa"/>
          </w:tcPr>
          <w:p w14:paraId="4CF6C6E9">
            <w:pPr>
              <w:ind w:firstLine="480"/>
              <w:rPr>
                <w:color w:val="auto"/>
              </w:rPr>
            </w:pPr>
            <w:r>
              <w:rPr>
                <w:rFonts w:hint="eastAsia"/>
                <w:color w:val="auto"/>
              </w:rPr>
              <w:t xml:space="preserve"> 本项目属新建项目，现状为耕地、林地、草地等，本项目不属于产污工程，不存在与项目有关的原有污染问题。所在区域无工业污染源，以农业面源污染为主，区域生态环境质量良好。</w:t>
            </w:r>
          </w:p>
          <w:p w14:paraId="0A00A887">
            <w:pPr>
              <w:ind w:firstLine="480"/>
              <w:rPr>
                <w:color w:val="auto"/>
                <w:kern w:val="0"/>
              </w:rPr>
            </w:pPr>
            <w:r>
              <w:rPr>
                <w:color w:val="auto"/>
              </w:rPr>
              <w:t>流里河、澌溪沟和王家河水库目前未设置专用生态流量泄放设施</w:t>
            </w:r>
            <w:r>
              <w:rPr>
                <w:rFonts w:hint="eastAsia"/>
                <w:color w:val="auto"/>
              </w:rPr>
              <w:t>。</w:t>
            </w:r>
          </w:p>
        </w:tc>
      </w:tr>
      <w:tr w14:paraId="28C54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52" w:type="dxa"/>
            <w:vAlign w:val="center"/>
          </w:tcPr>
          <w:p w14:paraId="0602F47F">
            <w:pPr>
              <w:adjustRightInd w:val="0"/>
              <w:snapToGrid w:val="0"/>
              <w:ind w:firstLine="0" w:firstLineChars="0"/>
              <w:rPr>
                <w:color w:val="auto"/>
                <w:kern w:val="0"/>
                <w:sz w:val="20"/>
                <w:szCs w:val="20"/>
              </w:rPr>
            </w:pPr>
            <w:r>
              <w:rPr>
                <w:rFonts w:hint="eastAsia"/>
                <w:color w:val="auto"/>
                <w:kern w:val="0"/>
                <w:sz w:val="20"/>
                <w:szCs w:val="20"/>
              </w:rPr>
              <w:t>生态环境保护目标</w:t>
            </w:r>
          </w:p>
        </w:tc>
        <w:tc>
          <w:tcPr>
            <w:tcW w:w="8305" w:type="dxa"/>
          </w:tcPr>
          <w:p w14:paraId="3A6A5353">
            <w:pPr>
              <w:ind w:firstLine="482"/>
              <w:rPr>
                <w:b/>
                <w:bCs/>
                <w:color w:val="auto"/>
              </w:rPr>
            </w:pPr>
            <w:r>
              <w:rPr>
                <w:rFonts w:hint="eastAsia"/>
                <w:b/>
                <w:bCs/>
                <w:color w:val="auto"/>
              </w:rPr>
              <w:t>一、外环境关系</w:t>
            </w:r>
          </w:p>
          <w:p w14:paraId="1C0B70EB">
            <w:pPr>
              <w:ind w:firstLine="480"/>
              <w:rPr>
                <w:color w:val="auto"/>
              </w:rPr>
            </w:pPr>
            <w:r>
              <w:rPr>
                <w:rFonts w:hint="eastAsia"/>
                <w:color w:val="auto"/>
              </w:rPr>
              <w:t>本项目不涉及生态保护红线、国家公园、自然保护区、风景名胜区、世界文化和自然遗产地、饮用水水源保护区等生态敏感区；不占用永久基本农田、基本草原、自然公园、重要湿地等生态资源；工程周边内无重点保护野生动物栖息地、重点保护野生植物生长繁殖地、重要水生生物的自然产卵场、索饵场、越冬场和洄游通道、天然渔场分布。项目占地范围及周边土地利用类型现状主要有水域及水利设施用地（内陆滩涂、河流水面）等，施工区域现状有市政道路和乡村道路对外沟通联系，项目施工区域附近居民敏感点主要分布于管线两侧。</w:t>
            </w:r>
          </w:p>
          <w:p w14:paraId="3044B812">
            <w:pPr>
              <w:ind w:firstLine="482"/>
              <w:rPr>
                <w:b/>
                <w:bCs/>
                <w:color w:val="auto"/>
              </w:rPr>
            </w:pPr>
            <w:r>
              <w:rPr>
                <w:rFonts w:hint="eastAsia"/>
                <w:b/>
                <w:bCs/>
                <w:color w:val="auto"/>
              </w:rPr>
              <w:t>二、大气环境保护目标</w:t>
            </w:r>
          </w:p>
          <w:p w14:paraId="5756455B">
            <w:pPr>
              <w:ind w:firstLine="480"/>
              <w:rPr>
                <w:color w:val="auto"/>
              </w:rPr>
            </w:pPr>
            <w:r>
              <w:rPr>
                <w:rFonts w:hint="eastAsia"/>
                <w:color w:val="auto"/>
              </w:rPr>
              <w:t>大气环境保护目标主要为项目周围500米范围内散居居民。</w:t>
            </w:r>
          </w:p>
          <w:p w14:paraId="23AFA474">
            <w:pPr>
              <w:pStyle w:val="17"/>
              <w:rPr>
                <w:rFonts w:hint="default"/>
                <w:color w:val="auto"/>
              </w:rPr>
            </w:pPr>
            <w:r>
              <w:rPr>
                <w:rFonts w:hint="default"/>
                <w:color w:val="auto"/>
              </w:rPr>
              <w:t>表3-</w:t>
            </w:r>
            <w:r>
              <w:rPr>
                <w:color w:val="auto"/>
              </w:rPr>
              <w:t>5大气</w:t>
            </w:r>
            <w:r>
              <w:rPr>
                <w:rFonts w:hint="default"/>
                <w:color w:val="auto"/>
              </w:rPr>
              <w:t>环境主要保护目标</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1"/>
              <w:gridCol w:w="2102"/>
              <w:gridCol w:w="1885"/>
              <w:gridCol w:w="1152"/>
              <w:gridCol w:w="2035"/>
            </w:tblGrid>
            <w:tr w14:paraId="24C45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0" w:hRule="atLeast"/>
              </w:trPr>
              <w:tc>
                <w:tcPr>
                  <w:tcW w:w="1151" w:type="dxa"/>
                  <w:vAlign w:val="center"/>
                </w:tcPr>
                <w:p w14:paraId="1D661D5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环境要素</w:t>
                  </w:r>
                </w:p>
              </w:tc>
              <w:tc>
                <w:tcPr>
                  <w:tcW w:w="2102" w:type="dxa"/>
                  <w:vAlign w:val="center"/>
                </w:tcPr>
                <w:p w14:paraId="71814C1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保护目标</w:t>
                  </w:r>
                </w:p>
              </w:tc>
              <w:tc>
                <w:tcPr>
                  <w:tcW w:w="1885" w:type="dxa"/>
                  <w:vAlign w:val="center"/>
                </w:tcPr>
                <w:p w14:paraId="0851810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相对位置、距离</w:t>
                  </w:r>
                </w:p>
              </w:tc>
              <w:tc>
                <w:tcPr>
                  <w:tcW w:w="1152" w:type="dxa"/>
                  <w:vAlign w:val="center"/>
                </w:tcPr>
                <w:p w14:paraId="39D0901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规模</w:t>
                  </w:r>
                  <w:r>
                    <w:rPr>
                      <w:color w:val="auto"/>
                      <w:kern w:val="0"/>
                      <w:sz w:val="21"/>
                      <w:szCs w:val="21"/>
                    </w:rPr>
                    <w:t>/</w:t>
                  </w:r>
                  <w:r>
                    <w:rPr>
                      <w:rFonts w:ascii="宋体" w:hAnsi="宋体" w:cs="宋体"/>
                      <w:color w:val="auto"/>
                      <w:kern w:val="0"/>
                      <w:sz w:val="21"/>
                      <w:szCs w:val="21"/>
                    </w:rPr>
                    <w:t>功能</w:t>
                  </w:r>
                </w:p>
              </w:tc>
              <w:tc>
                <w:tcPr>
                  <w:tcW w:w="2035" w:type="dxa"/>
                  <w:vAlign w:val="center"/>
                </w:tcPr>
                <w:p w14:paraId="113476F5">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保护级别</w:t>
                  </w:r>
                </w:p>
              </w:tc>
            </w:tr>
            <w:tr w14:paraId="3D9288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restart"/>
                  <w:vAlign w:val="center"/>
                </w:tcPr>
                <w:p w14:paraId="1C0E867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环境空气</w:t>
                  </w:r>
                </w:p>
              </w:tc>
              <w:tc>
                <w:tcPr>
                  <w:tcW w:w="2102" w:type="dxa"/>
                  <w:vAlign w:val="center"/>
                </w:tcPr>
                <w:p w14:paraId="7449A3C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麻石镇镇街居民</w:t>
                  </w:r>
                </w:p>
              </w:tc>
              <w:tc>
                <w:tcPr>
                  <w:tcW w:w="1885" w:type="dxa"/>
                  <w:vAlign w:val="center"/>
                </w:tcPr>
                <w:p w14:paraId="481DD321">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3B3962F1">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485</w:t>
                  </w:r>
                  <w:r>
                    <w:rPr>
                      <w:rFonts w:ascii="宋体" w:hAnsi="宋体"/>
                      <w:color w:val="auto"/>
                      <w:kern w:val="0"/>
                      <w:sz w:val="21"/>
                      <w:szCs w:val="21"/>
                    </w:rPr>
                    <w:t>户约</w:t>
                  </w:r>
                  <w:r>
                    <w:rPr>
                      <w:rFonts w:eastAsia="等线"/>
                      <w:color w:val="auto"/>
                      <w:kern w:val="0"/>
                      <w:sz w:val="21"/>
                      <w:szCs w:val="21"/>
                    </w:rPr>
                    <w:t>1455</w:t>
                  </w:r>
                  <w:r>
                    <w:rPr>
                      <w:rFonts w:ascii="宋体" w:hAnsi="宋体"/>
                      <w:color w:val="auto"/>
                      <w:kern w:val="0"/>
                      <w:sz w:val="21"/>
                      <w:szCs w:val="21"/>
                    </w:rPr>
                    <w:t>人</w:t>
                  </w:r>
                </w:p>
              </w:tc>
              <w:tc>
                <w:tcPr>
                  <w:tcW w:w="2035" w:type="dxa"/>
                  <w:vMerge w:val="restart"/>
                  <w:vAlign w:val="center"/>
                </w:tcPr>
                <w:p w14:paraId="23959C1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《环境空气质量标准》（</w:t>
                  </w:r>
                  <w:r>
                    <w:rPr>
                      <w:color w:val="auto"/>
                      <w:kern w:val="0"/>
                      <w:sz w:val="21"/>
                      <w:szCs w:val="21"/>
                    </w:rPr>
                    <w:t>GB3095-2026</w:t>
                  </w:r>
                  <w:r>
                    <w:rPr>
                      <w:rFonts w:ascii="宋体" w:hAnsi="宋体" w:cs="宋体"/>
                      <w:color w:val="auto"/>
                      <w:kern w:val="0"/>
                      <w:sz w:val="21"/>
                      <w:szCs w:val="21"/>
                    </w:rPr>
                    <w:t>）二级标准</w:t>
                  </w:r>
                </w:p>
              </w:tc>
            </w:tr>
            <w:tr w14:paraId="10D48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398BAEC1">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3EBBFF8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马三垭村居民</w:t>
                  </w:r>
                </w:p>
              </w:tc>
              <w:tc>
                <w:tcPr>
                  <w:tcW w:w="1885" w:type="dxa"/>
                  <w:vAlign w:val="center"/>
                </w:tcPr>
                <w:p w14:paraId="4D478B1B">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4CB05E34">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90</w:t>
                  </w:r>
                  <w:r>
                    <w:rPr>
                      <w:rFonts w:ascii="宋体" w:hAnsi="宋体"/>
                      <w:color w:val="auto"/>
                      <w:kern w:val="0"/>
                      <w:sz w:val="21"/>
                      <w:szCs w:val="21"/>
                    </w:rPr>
                    <w:t>户约315人</w:t>
                  </w:r>
                </w:p>
              </w:tc>
              <w:tc>
                <w:tcPr>
                  <w:tcW w:w="2035" w:type="dxa"/>
                  <w:vMerge w:val="continue"/>
                  <w:vAlign w:val="center"/>
                </w:tcPr>
                <w:p w14:paraId="251AD11A">
                  <w:pPr>
                    <w:widowControl/>
                    <w:autoSpaceDE/>
                    <w:autoSpaceDN/>
                    <w:spacing w:line="240" w:lineRule="auto"/>
                    <w:ind w:firstLine="0" w:firstLineChars="0"/>
                    <w:jc w:val="left"/>
                    <w:rPr>
                      <w:rFonts w:hint="eastAsia" w:ascii="宋体" w:hAnsi="宋体" w:cs="宋体"/>
                      <w:color w:val="auto"/>
                      <w:kern w:val="0"/>
                      <w:sz w:val="21"/>
                      <w:szCs w:val="21"/>
                    </w:rPr>
                  </w:pPr>
                </w:p>
              </w:tc>
            </w:tr>
            <w:tr w14:paraId="6666EE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456FF168">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728CEA7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补巴石村居民</w:t>
                  </w:r>
                </w:p>
              </w:tc>
              <w:tc>
                <w:tcPr>
                  <w:tcW w:w="1885" w:type="dxa"/>
                  <w:vAlign w:val="center"/>
                </w:tcPr>
                <w:p w14:paraId="230C90B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34192F2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40</w:t>
                  </w:r>
                  <w:r>
                    <w:rPr>
                      <w:rFonts w:ascii="宋体" w:hAnsi="宋体"/>
                      <w:color w:val="auto"/>
                      <w:kern w:val="0"/>
                      <w:sz w:val="21"/>
                      <w:szCs w:val="21"/>
                    </w:rPr>
                    <w:t>户约</w:t>
                  </w:r>
                  <w:r>
                    <w:rPr>
                      <w:rFonts w:eastAsia="等线"/>
                      <w:color w:val="auto"/>
                      <w:kern w:val="0"/>
                      <w:sz w:val="21"/>
                      <w:szCs w:val="21"/>
                    </w:rPr>
                    <w:t>120</w:t>
                  </w:r>
                  <w:r>
                    <w:rPr>
                      <w:rFonts w:ascii="宋体" w:hAnsi="宋体"/>
                      <w:color w:val="auto"/>
                      <w:kern w:val="0"/>
                      <w:sz w:val="21"/>
                      <w:szCs w:val="21"/>
                    </w:rPr>
                    <w:t>人</w:t>
                  </w:r>
                </w:p>
              </w:tc>
              <w:tc>
                <w:tcPr>
                  <w:tcW w:w="2035" w:type="dxa"/>
                  <w:vMerge w:val="continue"/>
                  <w:vAlign w:val="center"/>
                </w:tcPr>
                <w:p w14:paraId="453391A3">
                  <w:pPr>
                    <w:widowControl/>
                    <w:autoSpaceDE/>
                    <w:autoSpaceDN/>
                    <w:spacing w:line="240" w:lineRule="auto"/>
                    <w:ind w:firstLine="0" w:firstLineChars="0"/>
                    <w:jc w:val="left"/>
                    <w:rPr>
                      <w:rFonts w:hint="eastAsia" w:ascii="宋体" w:hAnsi="宋体" w:cs="宋体"/>
                      <w:color w:val="auto"/>
                      <w:kern w:val="0"/>
                      <w:sz w:val="21"/>
                      <w:szCs w:val="21"/>
                    </w:rPr>
                  </w:pPr>
                </w:p>
              </w:tc>
            </w:tr>
            <w:tr w14:paraId="489229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15CD58D9">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01D63E6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金斗岩村居民</w:t>
                  </w:r>
                </w:p>
              </w:tc>
              <w:tc>
                <w:tcPr>
                  <w:tcW w:w="1885" w:type="dxa"/>
                  <w:vAlign w:val="center"/>
                </w:tcPr>
                <w:p w14:paraId="13248010">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7A519158">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65</w:t>
                  </w:r>
                  <w:r>
                    <w:rPr>
                      <w:rFonts w:ascii="宋体" w:hAnsi="宋体"/>
                      <w:color w:val="auto"/>
                      <w:kern w:val="0"/>
                      <w:sz w:val="21"/>
                      <w:szCs w:val="21"/>
                    </w:rPr>
                    <w:t>户约</w:t>
                  </w:r>
                  <w:r>
                    <w:rPr>
                      <w:rFonts w:eastAsia="等线"/>
                      <w:color w:val="auto"/>
                      <w:kern w:val="0"/>
                      <w:sz w:val="21"/>
                      <w:szCs w:val="21"/>
                    </w:rPr>
                    <w:t>195</w:t>
                  </w:r>
                  <w:r>
                    <w:rPr>
                      <w:rFonts w:ascii="宋体" w:hAnsi="宋体"/>
                      <w:color w:val="auto"/>
                      <w:kern w:val="0"/>
                      <w:sz w:val="21"/>
                      <w:szCs w:val="21"/>
                    </w:rPr>
                    <w:t>人</w:t>
                  </w:r>
                </w:p>
              </w:tc>
              <w:tc>
                <w:tcPr>
                  <w:tcW w:w="2035" w:type="dxa"/>
                  <w:vMerge w:val="continue"/>
                  <w:vAlign w:val="center"/>
                </w:tcPr>
                <w:p w14:paraId="2641E245">
                  <w:pPr>
                    <w:widowControl/>
                    <w:autoSpaceDE/>
                    <w:autoSpaceDN/>
                    <w:spacing w:line="240" w:lineRule="auto"/>
                    <w:ind w:firstLine="0" w:firstLineChars="0"/>
                    <w:jc w:val="left"/>
                    <w:rPr>
                      <w:rFonts w:hint="eastAsia" w:ascii="宋体" w:hAnsi="宋体" w:cs="宋体"/>
                      <w:color w:val="auto"/>
                      <w:kern w:val="0"/>
                      <w:sz w:val="21"/>
                      <w:szCs w:val="21"/>
                    </w:rPr>
                  </w:pPr>
                </w:p>
              </w:tc>
            </w:tr>
            <w:tr w14:paraId="5DD97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2A5FB0DC">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3410A52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平坝村居民</w:t>
                  </w:r>
                </w:p>
              </w:tc>
              <w:tc>
                <w:tcPr>
                  <w:tcW w:w="1885" w:type="dxa"/>
                  <w:vAlign w:val="center"/>
                </w:tcPr>
                <w:p w14:paraId="7D9C18E9">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6874A3B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76</w:t>
                  </w:r>
                  <w:r>
                    <w:rPr>
                      <w:rFonts w:ascii="宋体" w:hAnsi="宋体"/>
                      <w:color w:val="auto"/>
                      <w:kern w:val="0"/>
                      <w:sz w:val="21"/>
                      <w:szCs w:val="21"/>
                    </w:rPr>
                    <w:t>户约</w:t>
                  </w:r>
                  <w:r>
                    <w:rPr>
                      <w:rFonts w:eastAsia="等线"/>
                      <w:color w:val="auto"/>
                      <w:kern w:val="0"/>
                      <w:sz w:val="21"/>
                      <w:szCs w:val="21"/>
                    </w:rPr>
                    <w:t>228</w:t>
                  </w:r>
                  <w:r>
                    <w:rPr>
                      <w:rFonts w:ascii="宋体" w:hAnsi="宋体"/>
                      <w:color w:val="auto"/>
                      <w:kern w:val="0"/>
                      <w:sz w:val="21"/>
                      <w:szCs w:val="21"/>
                    </w:rPr>
                    <w:t>人</w:t>
                  </w:r>
                </w:p>
              </w:tc>
              <w:tc>
                <w:tcPr>
                  <w:tcW w:w="2035" w:type="dxa"/>
                  <w:vMerge w:val="continue"/>
                  <w:vAlign w:val="center"/>
                </w:tcPr>
                <w:p w14:paraId="5DBAAF07">
                  <w:pPr>
                    <w:widowControl/>
                    <w:autoSpaceDE/>
                    <w:autoSpaceDN/>
                    <w:spacing w:line="240" w:lineRule="auto"/>
                    <w:ind w:firstLine="0" w:firstLineChars="0"/>
                    <w:jc w:val="left"/>
                    <w:rPr>
                      <w:rFonts w:hint="eastAsia" w:ascii="宋体" w:hAnsi="宋体" w:cs="宋体"/>
                      <w:color w:val="auto"/>
                      <w:kern w:val="0"/>
                      <w:sz w:val="21"/>
                      <w:szCs w:val="21"/>
                    </w:rPr>
                  </w:pPr>
                </w:p>
              </w:tc>
            </w:tr>
            <w:tr w14:paraId="5CAD79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7A631E29">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4788F97D">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观山坪村村民</w:t>
                  </w:r>
                </w:p>
              </w:tc>
              <w:tc>
                <w:tcPr>
                  <w:tcW w:w="1885" w:type="dxa"/>
                  <w:vAlign w:val="center"/>
                </w:tcPr>
                <w:p w14:paraId="6CD80E25">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37A38433">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37</w:t>
                  </w:r>
                  <w:r>
                    <w:rPr>
                      <w:rFonts w:ascii="宋体" w:hAnsi="宋体"/>
                      <w:color w:val="auto"/>
                      <w:kern w:val="0"/>
                      <w:sz w:val="21"/>
                      <w:szCs w:val="21"/>
                    </w:rPr>
                    <w:t>户约</w:t>
                  </w:r>
                  <w:r>
                    <w:rPr>
                      <w:rFonts w:eastAsia="等线"/>
                      <w:color w:val="auto"/>
                      <w:kern w:val="0"/>
                      <w:sz w:val="21"/>
                      <w:szCs w:val="21"/>
                    </w:rPr>
                    <w:t>111</w:t>
                  </w:r>
                  <w:r>
                    <w:rPr>
                      <w:rFonts w:ascii="宋体" w:hAnsi="宋体"/>
                      <w:color w:val="auto"/>
                      <w:kern w:val="0"/>
                      <w:sz w:val="21"/>
                      <w:szCs w:val="21"/>
                    </w:rPr>
                    <w:t>人</w:t>
                  </w:r>
                </w:p>
              </w:tc>
              <w:tc>
                <w:tcPr>
                  <w:tcW w:w="2035" w:type="dxa"/>
                  <w:vMerge w:val="continue"/>
                  <w:vAlign w:val="center"/>
                </w:tcPr>
                <w:p w14:paraId="17135B97">
                  <w:pPr>
                    <w:widowControl/>
                    <w:autoSpaceDE/>
                    <w:autoSpaceDN/>
                    <w:spacing w:line="240" w:lineRule="auto"/>
                    <w:ind w:firstLine="0" w:firstLineChars="0"/>
                    <w:jc w:val="left"/>
                    <w:rPr>
                      <w:rFonts w:hint="eastAsia" w:ascii="宋体" w:hAnsi="宋体" w:cs="宋体"/>
                      <w:color w:val="auto"/>
                      <w:kern w:val="0"/>
                      <w:sz w:val="21"/>
                      <w:szCs w:val="21"/>
                    </w:rPr>
                  </w:pPr>
                </w:p>
              </w:tc>
            </w:tr>
            <w:tr w14:paraId="59363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060CFFEC">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3BC2A9CC">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白土垭村居民</w:t>
                  </w:r>
                </w:p>
              </w:tc>
              <w:tc>
                <w:tcPr>
                  <w:tcW w:w="1885" w:type="dxa"/>
                  <w:vAlign w:val="center"/>
                </w:tcPr>
                <w:p w14:paraId="35F8BF44">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22CE6A7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63</w:t>
                  </w:r>
                  <w:r>
                    <w:rPr>
                      <w:rFonts w:ascii="宋体" w:hAnsi="宋体"/>
                      <w:color w:val="auto"/>
                      <w:kern w:val="0"/>
                      <w:sz w:val="21"/>
                      <w:szCs w:val="21"/>
                    </w:rPr>
                    <w:t>户约</w:t>
                  </w:r>
                  <w:r>
                    <w:rPr>
                      <w:rFonts w:eastAsia="等线"/>
                      <w:color w:val="auto"/>
                      <w:kern w:val="0"/>
                      <w:sz w:val="21"/>
                      <w:szCs w:val="21"/>
                    </w:rPr>
                    <w:t>189</w:t>
                  </w:r>
                  <w:r>
                    <w:rPr>
                      <w:rFonts w:ascii="宋体" w:hAnsi="宋体"/>
                      <w:color w:val="auto"/>
                      <w:kern w:val="0"/>
                      <w:sz w:val="21"/>
                      <w:szCs w:val="21"/>
                    </w:rPr>
                    <w:t>人</w:t>
                  </w:r>
                </w:p>
              </w:tc>
              <w:tc>
                <w:tcPr>
                  <w:tcW w:w="2035" w:type="dxa"/>
                  <w:vMerge w:val="continue"/>
                  <w:vAlign w:val="center"/>
                </w:tcPr>
                <w:p w14:paraId="63D76478">
                  <w:pPr>
                    <w:widowControl/>
                    <w:autoSpaceDE/>
                    <w:autoSpaceDN/>
                    <w:spacing w:line="240" w:lineRule="auto"/>
                    <w:ind w:firstLine="0" w:firstLineChars="0"/>
                    <w:jc w:val="left"/>
                    <w:rPr>
                      <w:rFonts w:hint="eastAsia" w:ascii="宋体" w:hAnsi="宋体" w:cs="宋体"/>
                      <w:color w:val="auto"/>
                      <w:kern w:val="0"/>
                      <w:sz w:val="21"/>
                      <w:szCs w:val="21"/>
                    </w:rPr>
                  </w:pPr>
                </w:p>
              </w:tc>
            </w:tr>
            <w:tr w14:paraId="01BD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10221F01">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080C2C0E">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铁佛镇镇街居民</w:t>
                  </w:r>
                </w:p>
              </w:tc>
              <w:tc>
                <w:tcPr>
                  <w:tcW w:w="1885" w:type="dxa"/>
                  <w:vAlign w:val="center"/>
                </w:tcPr>
                <w:p w14:paraId="5602BB86">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41E0E47D">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845</w:t>
                  </w:r>
                  <w:r>
                    <w:rPr>
                      <w:rFonts w:ascii="宋体" w:hAnsi="宋体"/>
                      <w:color w:val="auto"/>
                      <w:kern w:val="0"/>
                      <w:sz w:val="21"/>
                      <w:szCs w:val="21"/>
                    </w:rPr>
                    <w:t>户约</w:t>
                  </w:r>
                  <w:r>
                    <w:rPr>
                      <w:rFonts w:eastAsia="等线"/>
                      <w:color w:val="auto"/>
                      <w:kern w:val="0"/>
                      <w:sz w:val="21"/>
                      <w:szCs w:val="21"/>
                    </w:rPr>
                    <w:t>2235</w:t>
                  </w:r>
                  <w:r>
                    <w:rPr>
                      <w:rFonts w:ascii="宋体" w:hAnsi="宋体"/>
                      <w:color w:val="auto"/>
                      <w:kern w:val="0"/>
                      <w:sz w:val="21"/>
                      <w:szCs w:val="21"/>
                    </w:rPr>
                    <w:t>人</w:t>
                  </w:r>
                </w:p>
              </w:tc>
              <w:tc>
                <w:tcPr>
                  <w:tcW w:w="2035" w:type="dxa"/>
                  <w:vMerge w:val="continue"/>
                  <w:vAlign w:val="center"/>
                </w:tcPr>
                <w:p w14:paraId="6BAA5CF5">
                  <w:pPr>
                    <w:widowControl/>
                    <w:autoSpaceDE/>
                    <w:autoSpaceDN/>
                    <w:spacing w:line="240" w:lineRule="auto"/>
                    <w:ind w:firstLine="0" w:firstLineChars="0"/>
                    <w:jc w:val="left"/>
                    <w:rPr>
                      <w:rFonts w:hint="eastAsia" w:ascii="宋体" w:hAnsi="宋体" w:cs="宋体"/>
                      <w:color w:val="auto"/>
                      <w:kern w:val="0"/>
                      <w:sz w:val="21"/>
                      <w:szCs w:val="21"/>
                    </w:rPr>
                  </w:pPr>
                </w:p>
              </w:tc>
            </w:tr>
            <w:tr w14:paraId="14AE5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4FF99A34">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359DA857">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双泉村居民</w:t>
                  </w:r>
                </w:p>
              </w:tc>
              <w:tc>
                <w:tcPr>
                  <w:tcW w:w="1885" w:type="dxa"/>
                  <w:vAlign w:val="center"/>
                </w:tcPr>
                <w:p w14:paraId="7C4FEE37">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2172A14E">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52</w:t>
                  </w:r>
                  <w:r>
                    <w:rPr>
                      <w:rFonts w:ascii="宋体" w:hAnsi="宋体"/>
                      <w:color w:val="auto"/>
                      <w:kern w:val="0"/>
                      <w:sz w:val="21"/>
                      <w:szCs w:val="21"/>
                    </w:rPr>
                    <w:t>户约</w:t>
                  </w:r>
                  <w:r>
                    <w:rPr>
                      <w:rFonts w:eastAsia="等线"/>
                      <w:color w:val="auto"/>
                      <w:kern w:val="0"/>
                      <w:sz w:val="21"/>
                      <w:szCs w:val="21"/>
                    </w:rPr>
                    <w:t>156</w:t>
                  </w:r>
                  <w:r>
                    <w:rPr>
                      <w:rFonts w:ascii="宋体" w:hAnsi="宋体"/>
                      <w:color w:val="auto"/>
                      <w:kern w:val="0"/>
                      <w:sz w:val="21"/>
                      <w:szCs w:val="21"/>
                    </w:rPr>
                    <w:t>人</w:t>
                  </w:r>
                </w:p>
              </w:tc>
              <w:tc>
                <w:tcPr>
                  <w:tcW w:w="2035" w:type="dxa"/>
                  <w:vMerge w:val="continue"/>
                  <w:vAlign w:val="center"/>
                </w:tcPr>
                <w:p w14:paraId="45A2E169">
                  <w:pPr>
                    <w:widowControl/>
                    <w:autoSpaceDE/>
                    <w:autoSpaceDN/>
                    <w:spacing w:line="240" w:lineRule="auto"/>
                    <w:ind w:firstLine="0" w:firstLineChars="0"/>
                    <w:jc w:val="left"/>
                    <w:rPr>
                      <w:rFonts w:hint="eastAsia" w:ascii="宋体" w:hAnsi="宋体" w:cs="宋体"/>
                      <w:color w:val="auto"/>
                      <w:kern w:val="0"/>
                      <w:sz w:val="21"/>
                      <w:szCs w:val="21"/>
                    </w:rPr>
                  </w:pPr>
                </w:p>
              </w:tc>
            </w:tr>
            <w:tr w14:paraId="65CA60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51" w:type="dxa"/>
                  <w:vMerge w:val="continue"/>
                  <w:vAlign w:val="center"/>
                </w:tcPr>
                <w:p w14:paraId="0013EF51">
                  <w:pPr>
                    <w:widowControl/>
                    <w:autoSpaceDE/>
                    <w:autoSpaceDN/>
                    <w:spacing w:line="240" w:lineRule="auto"/>
                    <w:ind w:firstLine="0" w:firstLineChars="0"/>
                    <w:jc w:val="left"/>
                    <w:rPr>
                      <w:rFonts w:hint="eastAsia" w:ascii="宋体" w:hAnsi="宋体" w:cs="宋体"/>
                      <w:color w:val="auto"/>
                      <w:kern w:val="0"/>
                      <w:sz w:val="21"/>
                      <w:szCs w:val="21"/>
                    </w:rPr>
                  </w:pPr>
                </w:p>
              </w:tc>
              <w:tc>
                <w:tcPr>
                  <w:tcW w:w="2102" w:type="dxa"/>
                  <w:vAlign w:val="center"/>
                </w:tcPr>
                <w:p w14:paraId="17D0A14A">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白马村居民</w:t>
                  </w:r>
                </w:p>
              </w:tc>
              <w:tc>
                <w:tcPr>
                  <w:tcW w:w="1885" w:type="dxa"/>
                  <w:vAlign w:val="center"/>
                </w:tcPr>
                <w:p w14:paraId="39C84377">
                  <w:pPr>
                    <w:widowControl/>
                    <w:autoSpaceDE/>
                    <w:autoSpaceDN/>
                    <w:spacing w:line="240" w:lineRule="auto"/>
                    <w:ind w:firstLine="0" w:firstLineChars="0"/>
                    <w:jc w:val="center"/>
                    <w:rPr>
                      <w:rFonts w:hint="eastAsia" w:ascii="宋体" w:hAnsi="宋体" w:cs="宋体"/>
                      <w:color w:val="auto"/>
                      <w:kern w:val="0"/>
                      <w:sz w:val="21"/>
                      <w:szCs w:val="21"/>
                    </w:rPr>
                  </w:pPr>
                  <w:r>
                    <w:rPr>
                      <w:rFonts w:ascii="宋体" w:hAnsi="宋体" w:cs="宋体"/>
                      <w:color w:val="auto"/>
                      <w:kern w:val="0"/>
                      <w:sz w:val="21"/>
                      <w:szCs w:val="21"/>
                    </w:rPr>
                    <w:t>管线铺设沿线</w:t>
                  </w:r>
                  <w:r>
                    <w:rPr>
                      <w:color w:val="auto"/>
                      <w:kern w:val="0"/>
                      <w:sz w:val="21"/>
                      <w:szCs w:val="21"/>
                    </w:rPr>
                    <w:t>500</w:t>
                  </w:r>
                  <w:r>
                    <w:rPr>
                      <w:rFonts w:ascii="宋体" w:hAnsi="宋体" w:cs="宋体"/>
                      <w:color w:val="auto"/>
                      <w:kern w:val="0"/>
                      <w:sz w:val="21"/>
                      <w:szCs w:val="21"/>
                    </w:rPr>
                    <w:t>米范围内</w:t>
                  </w:r>
                </w:p>
              </w:tc>
              <w:tc>
                <w:tcPr>
                  <w:tcW w:w="1152" w:type="dxa"/>
                  <w:vAlign w:val="center"/>
                </w:tcPr>
                <w:p w14:paraId="52D0FA79">
                  <w:pPr>
                    <w:widowControl/>
                    <w:autoSpaceDE/>
                    <w:autoSpaceDN/>
                    <w:spacing w:line="240" w:lineRule="auto"/>
                    <w:ind w:firstLine="0" w:firstLineChars="0"/>
                    <w:jc w:val="center"/>
                    <w:rPr>
                      <w:rFonts w:eastAsia="等线"/>
                      <w:color w:val="auto"/>
                      <w:kern w:val="0"/>
                      <w:sz w:val="21"/>
                      <w:szCs w:val="21"/>
                    </w:rPr>
                  </w:pPr>
                  <w:r>
                    <w:rPr>
                      <w:rFonts w:eastAsia="等线"/>
                      <w:color w:val="auto"/>
                      <w:kern w:val="0"/>
                      <w:sz w:val="21"/>
                      <w:szCs w:val="21"/>
                    </w:rPr>
                    <w:t>47</w:t>
                  </w:r>
                  <w:r>
                    <w:rPr>
                      <w:rFonts w:ascii="宋体" w:hAnsi="宋体"/>
                      <w:color w:val="auto"/>
                      <w:kern w:val="0"/>
                      <w:sz w:val="21"/>
                      <w:szCs w:val="21"/>
                    </w:rPr>
                    <w:t>户约</w:t>
                  </w:r>
                  <w:r>
                    <w:rPr>
                      <w:rFonts w:eastAsia="等线"/>
                      <w:color w:val="auto"/>
                      <w:kern w:val="0"/>
                      <w:sz w:val="21"/>
                      <w:szCs w:val="21"/>
                    </w:rPr>
                    <w:t>146</w:t>
                  </w:r>
                  <w:r>
                    <w:rPr>
                      <w:rFonts w:ascii="宋体" w:hAnsi="宋体"/>
                      <w:color w:val="auto"/>
                      <w:kern w:val="0"/>
                      <w:sz w:val="21"/>
                      <w:szCs w:val="21"/>
                    </w:rPr>
                    <w:t>人</w:t>
                  </w:r>
                </w:p>
              </w:tc>
              <w:tc>
                <w:tcPr>
                  <w:tcW w:w="2035" w:type="dxa"/>
                  <w:vMerge w:val="continue"/>
                  <w:vAlign w:val="center"/>
                </w:tcPr>
                <w:p w14:paraId="3625DE35">
                  <w:pPr>
                    <w:widowControl/>
                    <w:autoSpaceDE/>
                    <w:autoSpaceDN/>
                    <w:spacing w:line="240" w:lineRule="auto"/>
                    <w:ind w:firstLine="0" w:firstLineChars="0"/>
                    <w:jc w:val="left"/>
                    <w:rPr>
                      <w:rFonts w:hint="eastAsia" w:ascii="宋体" w:hAnsi="宋体" w:cs="宋体"/>
                      <w:color w:val="auto"/>
                      <w:kern w:val="0"/>
                      <w:sz w:val="21"/>
                      <w:szCs w:val="21"/>
                    </w:rPr>
                  </w:pPr>
                </w:p>
              </w:tc>
            </w:tr>
          </w:tbl>
          <w:p w14:paraId="5DED6AD0">
            <w:pPr>
              <w:ind w:firstLine="482"/>
              <w:rPr>
                <w:b/>
                <w:bCs/>
                <w:color w:val="auto"/>
              </w:rPr>
            </w:pPr>
          </w:p>
          <w:p w14:paraId="6B8BCA3F">
            <w:pPr>
              <w:ind w:firstLine="482"/>
              <w:rPr>
                <w:b/>
                <w:bCs/>
                <w:color w:val="auto"/>
              </w:rPr>
            </w:pPr>
            <w:r>
              <w:rPr>
                <w:rFonts w:hint="eastAsia"/>
                <w:b/>
                <w:bCs/>
                <w:color w:val="auto"/>
              </w:rPr>
              <w:t>三、声环境保护目标</w:t>
            </w:r>
          </w:p>
          <w:p w14:paraId="6CDAB2B8">
            <w:pPr>
              <w:ind w:firstLine="480"/>
              <w:rPr>
                <w:color w:val="auto"/>
              </w:rPr>
            </w:pPr>
            <w:r>
              <w:rPr>
                <w:rFonts w:hint="eastAsia"/>
                <w:color w:val="auto"/>
              </w:rPr>
              <w:t>本项目位于通江县铁佛镇，据调查，项目所有工程区50m范围内有散居居民，有声环境保护目标。</w:t>
            </w:r>
          </w:p>
          <w:p w14:paraId="1D0722F9">
            <w:pPr>
              <w:pStyle w:val="17"/>
              <w:rPr>
                <w:rFonts w:hint="default"/>
                <w:color w:val="auto"/>
              </w:rPr>
            </w:pPr>
            <w:r>
              <w:rPr>
                <w:rFonts w:hint="default"/>
                <w:color w:val="auto"/>
              </w:rPr>
              <w:t>表3-</w:t>
            </w:r>
            <w:r>
              <w:rPr>
                <w:color w:val="auto"/>
              </w:rPr>
              <w:t>6 声</w:t>
            </w:r>
            <w:r>
              <w:rPr>
                <w:rFonts w:hint="default"/>
                <w:color w:val="auto"/>
              </w:rPr>
              <w:t>环境主要保护目标</w:t>
            </w:r>
          </w:p>
          <w:tbl>
            <w:tblPr>
              <w:tblStyle w:val="13"/>
              <w:tblW w:w="832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446"/>
              <w:gridCol w:w="2091"/>
              <w:gridCol w:w="1909"/>
              <w:gridCol w:w="1839"/>
            </w:tblGrid>
            <w:tr w14:paraId="228EC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71" w:type="pct"/>
                  <w:tcBorders>
                    <w:tl2br w:val="nil"/>
                    <w:tr2bl w:val="nil"/>
                  </w:tcBorders>
                  <w:vAlign w:val="center"/>
                </w:tcPr>
                <w:p w14:paraId="35D5741D">
                  <w:pPr>
                    <w:autoSpaceDE/>
                    <w:autoSpaceDN/>
                    <w:adjustRightInd w:val="0"/>
                    <w:snapToGrid w:val="0"/>
                    <w:spacing w:line="240" w:lineRule="auto"/>
                    <w:ind w:firstLine="0" w:firstLineChars="0"/>
                    <w:jc w:val="center"/>
                    <w:rPr>
                      <w:color w:val="auto"/>
                      <w:sz w:val="21"/>
                      <w:szCs w:val="21"/>
                    </w:rPr>
                  </w:pPr>
                  <w:r>
                    <w:rPr>
                      <w:color w:val="auto"/>
                      <w:sz w:val="21"/>
                      <w:szCs w:val="21"/>
                    </w:rPr>
                    <w:t>环境要素</w:t>
                  </w:r>
                </w:p>
              </w:tc>
              <w:tc>
                <w:tcPr>
                  <w:tcW w:w="915" w:type="pct"/>
                  <w:tcBorders>
                    <w:tl2br w:val="nil"/>
                    <w:tr2bl w:val="nil"/>
                  </w:tcBorders>
                  <w:vAlign w:val="center"/>
                </w:tcPr>
                <w:p w14:paraId="58D44537">
                  <w:pPr>
                    <w:autoSpaceDE/>
                    <w:autoSpaceDN/>
                    <w:adjustRightInd w:val="0"/>
                    <w:snapToGrid w:val="0"/>
                    <w:spacing w:line="240" w:lineRule="auto"/>
                    <w:ind w:firstLine="0" w:firstLineChars="0"/>
                    <w:jc w:val="center"/>
                    <w:rPr>
                      <w:color w:val="auto"/>
                      <w:sz w:val="21"/>
                      <w:szCs w:val="21"/>
                    </w:rPr>
                  </w:pPr>
                  <w:r>
                    <w:rPr>
                      <w:color w:val="auto"/>
                      <w:sz w:val="21"/>
                      <w:szCs w:val="21"/>
                    </w:rPr>
                    <w:t>保护目标</w:t>
                  </w:r>
                </w:p>
              </w:tc>
              <w:tc>
                <w:tcPr>
                  <w:tcW w:w="1302" w:type="pct"/>
                  <w:tcBorders>
                    <w:tl2br w:val="nil"/>
                    <w:tr2bl w:val="nil"/>
                  </w:tcBorders>
                  <w:vAlign w:val="center"/>
                </w:tcPr>
                <w:p w14:paraId="62703029">
                  <w:pPr>
                    <w:autoSpaceDE/>
                    <w:autoSpaceDN/>
                    <w:adjustRightInd w:val="0"/>
                    <w:snapToGrid w:val="0"/>
                    <w:spacing w:line="240" w:lineRule="auto"/>
                    <w:ind w:firstLine="0" w:firstLineChars="0"/>
                    <w:jc w:val="center"/>
                    <w:rPr>
                      <w:color w:val="auto"/>
                      <w:sz w:val="21"/>
                      <w:szCs w:val="21"/>
                    </w:rPr>
                  </w:pPr>
                  <w:r>
                    <w:rPr>
                      <w:color w:val="auto"/>
                      <w:sz w:val="21"/>
                      <w:szCs w:val="21"/>
                    </w:rPr>
                    <w:t>相对位置、距离</w:t>
                  </w:r>
                </w:p>
              </w:tc>
              <w:tc>
                <w:tcPr>
                  <w:tcW w:w="1192" w:type="pct"/>
                  <w:tcBorders>
                    <w:tl2br w:val="nil"/>
                    <w:tr2bl w:val="nil"/>
                  </w:tcBorders>
                  <w:vAlign w:val="center"/>
                </w:tcPr>
                <w:p w14:paraId="04F4854A">
                  <w:pPr>
                    <w:autoSpaceDE/>
                    <w:autoSpaceDN/>
                    <w:adjustRightInd w:val="0"/>
                    <w:snapToGrid w:val="0"/>
                    <w:spacing w:line="240" w:lineRule="auto"/>
                    <w:ind w:firstLine="0" w:firstLineChars="0"/>
                    <w:jc w:val="center"/>
                    <w:rPr>
                      <w:color w:val="auto"/>
                      <w:sz w:val="21"/>
                      <w:szCs w:val="21"/>
                    </w:rPr>
                  </w:pPr>
                  <w:r>
                    <w:rPr>
                      <w:color w:val="auto"/>
                      <w:sz w:val="21"/>
                      <w:szCs w:val="21"/>
                    </w:rPr>
                    <w:t>规模/功能</w:t>
                  </w:r>
                </w:p>
              </w:tc>
              <w:tc>
                <w:tcPr>
                  <w:tcW w:w="921" w:type="pct"/>
                  <w:tcBorders>
                    <w:tl2br w:val="nil"/>
                    <w:tr2bl w:val="nil"/>
                  </w:tcBorders>
                  <w:vAlign w:val="center"/>
                </w:tcPr>
                <w:p w14:paraId="33AA2D0B">
                  <w:pPr>
                    <w:autoSpaceDE/>
                    <w:autoSpaceDN/>
                    <w:adjustRightInd w:val="0"/>
                    <w:snapToGrid w:val="0"/>
                    <w:spacing w:line="240" w:lineRule="auto"/>
                    <w:ind w:firstLine="0" w:firstLineChars="0"/>
                    <w:jc w:val="center"/>
                    <w:rPr>
                      <w:color w:val="auto"/>
                      <w:sz w:val="21"/>
                      <w:szCs w:val="21"/>
                    </w:rPr>
                  </w:pPr>
                  <w:r>
                    <w:rPr>
                      <w:color w:val="auto"/>
                      <w:sz w:val="21"/>
                      <w:szCs w:val="21"/>
                    </w:rPr>
                    <w:t>保护级别</w:t>
                  </w:r>
                </w:p>
              </w:tc>
            </w:tr>
            <w:tr w14:paraId="31C93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restart"/>
                  <w:tcBorders>
                    <w:tl2br w:val="nil"/>
                    <w:tr2bl w:val="nil"/>
                  </w:tcBorders>
                  <w:vAlign w:val="center"/>
                </w:tcPr>
                <w:p w14:paraId="5B24924E">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噪声</w:t>
                  </w:r>
                </w:p>
              </w:tc>
              <w:tc>
                <w:tcPr>
                  <w:tcW w:w="915" w:type="pct"/>
                  <w:tcBorders>
                    <w:tl2br w:val="nil"/>
                    <w:tr2bl w:val="nil"/>
                  </w:tcBorders>
                  <w:vAlign w:val="center"/>
                </w:tcPr>
                <w:p w14:paraId="250D9440">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麻石镇镇街居民</w:t>
                  </w:r>
                </w:p>
              </w:tc>
              <w:tc>
                <w:tcPr>
                  <w:tcW w:w="1302" w:type="pct"/>
                  <w:tcBorders>
                    <w:tl2br w:val="nil"/>
                    <w:tr2bl w:val="nil"/>
                  </w:tcBorders>
                  <w:vAlign w:val="center"/>
                </w:tcPr>
                <w:p w14:paraId="14FD33E5">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50BC8719">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143户约429人</w:t>
                  </w:r>
                </w:p>
              </w:tc>
              <w:tc>
                <w:tcPr>
                  <w:tcW w:w="921" w:type="pct"/>
                  <w:vMerge w:val="restart"/>
                  <w:tcBorders>
                    <w:tl2br w:val="nil"/>
                    <w:tr2bl w:val="nil"/>
                  </w:tcBorders>
                  <w:vAlign w:val="center"/>
                </w:tcPr>
                <w:p w14:paraId="6B9798AE">
                  <w:pPr>
                    <w:autoSpaceDE/>
                    <w:autoSpaceDN/>
                    <w:adjustRightInd w:val="0"/>
                    <w:snapToGrid w:val="0"/>
                    <w:spacing w:line="240" w:lineRule="auto"/>
                    <w:ind w:firstLine="0" w:firstLineChars="0"/>
                    <w:jc w:val="center"/>
                    <w:rPr>
                      <w:color w:val="auto"/>
                      <w:sz w:val="21"/>
                      <w:szCs w:val="21"/>
                    </w:rPr>
                  </w:pPr>
                  <w:r>
                    <w:rPr>
                      <w:color w:val="auto"/>
                      <w:sz w:val="21"/>
                      <w:szCs w:val="21"/>
                    </w:rPr>
                    <w:t>《</w:t>
                  </w:r>
                  <w:r>
                    <w:rPr>
                      <w:rFonts w:hint="eastAsia"/>
                      <w:color w:val="auto"/>
                      <w:sz w:val="21"/>
                      <w:szCs w:val="21"/>
                    </w:rPr>
                    <w:t>声环境</w:t>
                  </w:r>
                  <w:r>
                    <w:rPr>
                      <w:color w:val="auto"/>
                      <w:sz w:val="21"/>
                      <w:szCs w:val="21"/>
                    </w:rPr>
                    <w:t>质量标准》（</w:t>
                  </w:r>
                  <w:r>
                    <w:rPr>
                      <w:rFonts w:hint="eastAsia"/>
                      <w:color w:val="auto"/>
                      <w:sz w:val="21"/>
                      <w:szCs w:val="21"/>
                    </w:rPr>
                    <w:t>GB3096-2008</w:t>
                  </w:r>
                  <w:r>
                    <w:rPr>
                      <w:color w:val="auto"/>
                      <w:sz w:val="21"/>
                      <w:szCs w:val="21"/>
                    </w:rPr>
                    <w:t>）二级标准</w:t>
                  </w:r>
                </w:p>
              </w:tc>
            </w:tr>
            <w:tr w14:paraId="3FC72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0FBB7193">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2500D0CC">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马三垭村居民</w:t>
                  </w:r>
                </w:p>
              </w:tc>
              <w:tc>
                <w:tcPr>
                  <w:tcW w:w="1302" w:type="pct"/>
                  <w:tcBorders>
                    <w:tl2br w:val="nil"/>
                    <w:tr2bl w:val="nil"/>
                  </w:tcBorders>
                  <w:vAlign w:val="center"/>
                </w:tcPr>
                <w:p w14:paraId="2B56E50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3F9CD28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35户约105人</w:t>
                  </w:r>
                </w:p>
              </w:tc>
              <w:tc>
                <w:tcPr>
                  <w:tcW w:w="921" w:type="pct"/>
                  <w:vMerge w:val="continue"/>
                  <w:tcBorders>
                    <w:tl2br w:val="nil"/>
                    <w:tr2bl w:val="nil"/>
                  </w:tcBorders>
                  <w:vAlign w:val="center"/>
                </w:tcPr>
                <w:p w14:paraId="7E45331F">
                  <w:pPr>
                    <w:autoSpaceDE/>
                    <w:autoSpaceDN/>
                    <w:adjustRightInd w:val="0"/>
                    <w:snapToGrid w:val="0"/>
                    <w:spacing w:line="240" w:lineRule="auto"/>
                    <w:ind w:firstLine="0" w:firstLineChars="0"/>
                    <w:jc w:val="center"/>
                    <w:rPr>
                      <w:color w:val="auto"/>
                      <w:sz w:val="21"/>
                      <w:szCs w:val="21"/>
                    </w:rPr>
                  </w:pPr>
                </w:p>
              </w:tc>
            </w:tr>
            <w:tr w14:paraId="15F2B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55555652">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45DD6F57">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补巴石村居民</w:t>
                  </w:r>
                </w:p>
              </w:tc>
              <w:tc>
                <w:tcPr>
                  <w:tcW w:w="1302" w:type="pct"/>
                  <w:tcBorders>
                    <w:tl2br w:val="nil"/>
                    <w:tr2bl w:val="nil"/>
                  </w:tcBorders>
                  <w:vAlign w:val="center"/>
                </w:tcPr>
                <w:p w14:paraId="5B05377E">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722EC346">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6</w:t>
                  </w:r>
                  <w:r>
                    <w:rPr>
                      <w:rFonts w:hint="eastAsia"/>
                      <w:color w:val="auto"/>
                      <w:sz w:val="21"/>
                      <w:szCs w:val="21"/>
                    </w:rPr>
                    <w:t>户约</w:t>
                  </w:r>
                  <w:r>
                    <w:rPr>
                      <w:rFonts w:eastAsia="等线"/>
                      <w:color w:val="auto"/>
                      <w:sz w:val="21"/>
                      <w:szCs w:val="21"/>
                    </w:rPr>
                    <w:t>18</w:t>
                  </w:r>
                  <w:r>
                    <w:rPr>
                      <w:rFonts w:hint="eastAsia"/>
                      <w:color w:val="auto"/>
                      <w:sz w:val="21"/>
                      <w:szCs w:val="21"/>
                    </w:rPr>
                    <w:t>人</w:t>
                  </w:r>
                </w:p>
              </w:tc>
              <w:tc>
                <w:tcPr>
                  <w:tcW w:w="921" w:type="pct"/>
                  <w:vMerge w:val="continue"/>
                  <w:tcBorders>
                    <w:tl2br w:val="nil"/>
                    <w:tr2bl w:val="nil"/>
                  </w:tcBorders>
                  <w:vAlign w:val="center"/>
                </w:tcPr>
                <w:p w14:paraId="070640DB">
                  <w:pPr>
                    <w:autoSpaceDE/>
                    <w:autoSpaceDN/>
                    <w:adjustRightInd w:val="0"/>
                    <w:snapToGrid w:val="0"/>
                    <w:spacing w:line="240" w:lineRule="auto"/>
                    <w:ind w:firstLine="0" w:firstLineChars="0"/>
                    <w:jc w:val="center"/>
                    <w:rPr>
                      <w:color w:val="auto"/>
                      <w:sz w:val="21"/>
                      <w:szCs w:val="21"/>
                    </w:rPr>
                  </w:pPr>
                </w:p>
              </w:tc>
            </w:tr>
            <w:tr w14:paraId="377D8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1C8C46CF">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4C852720">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金斗岩村居民</w:t>
                  </w:r>
                </w:p>
              </w:tc>
              <w:tc>
                <w:tcPr>
                  <w:tcW w:w="1302" w:type="pct"/>
                  <w:tcBorders>
                    <w:tl2br w:val="nil"/>
                    <w:tr2bl w:val="nil"/>
                  </w:tcBorders>
                  <w:vAlign w:val="center"/>
                </w:tcPr>
                <w:p w14:paraId="2B3ACBBF">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09A71F0E">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22</w:t>
                  </w:r>
                  <w:r>
                    <w:rPr>
                      <w:rFonts w:hint="eastAsia"/>
                      <w:color w:val="auto"/>
                      <w:sz w:val="21"/>
                      <w:szCs w:val="21"/>
                    </w:rPr>
                    <w:t>户约</w:t>
                  </w:r>
                  <w:r>
                    <w:rPr>
                      <w:rFonts w:eastAsia="等线"/>
                      <w:color w:val="auto"/>
                      <w:sz w:val="21"/>
                      <w:szCs w:val="21"/>
                    </w:rPr>
                    <w:t>66</w:t>
                  </w:r>
                  <w:r>
                    <w:rPr>
                      <w:rFonts w:hint="eastAsia"/>
                      <w:color w:val="auto"/>
                      <w:sz w:val="21"/>
                      <w:szCs w:val="21"/>
                    </w:rPr>
                    <w:t>人</w:t>
                  </w:r>
                </w:p>
              </w:tc>
              <w:tc>
                <w:tcPr>
                  <w:tcW w:w="921" w:type="pct"/>
                  <w:vMerge w:val="continue"/>
                  <w:tcBorders>
                    <w:tl2br w:val="nil"/>
                    <w:tr2bl w:val="nil"/>
                  </w:tcBorders>
                  <w:vAlign w:val="center"/>
                </w:tcPr>
                <w:p w14:paraId="6B5F0631">
                  <w:pPr>
                    <w:autoSpaceDE/>
                    <w:autoSpaceDN/>
                    <w:adjustRightInd w:val="0"/>
                    <w:snapToGrid w:val="0"/>
                    <w:spacing w:line="240" w:lineRule="auto"/>
                    <w:ind w:firstLine="0" w:firstLineChars="0"/>
                    <w:jc w:val="center"/>
                    <w:rPr>
                      <w:color w:val="auto"/>
                      <w:sz w:val="21"/>
                      <w:szCs w:val="21"/>
                    </w:rPr>
                  </w:pPr>
                </w:p>
              </w:tc>
            </w:tr>
            <w:tr w14:paraId="784E77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660360AD">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2AA0BFF0">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平坝村居民</w:t>
                  </w:r>
                </w:p>
              </w:tc>
              <w:tc>
                <w:tcPr>
                  <w:tcW w:w="1302" w:type="pct"/>
                  <w:tcBorders>
                    <w:tl2br w:val="nil"/>
                    <w:tr2bl w:val="nil"/>
                  </w:tcBorders>
                  <w:vAlign w:val="center"/>
                </w:tcPr>
                <w:p w14:paraId="73F0340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6108C237">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5</w:t>
                  </w:r>
                  <w:r>
                    <w:rPr>
                      <w:rFonts w:hint="eastAsia"/>
                      <w:color w:val="auto"/>
                      <w:sz w:val="21"/>
                      <w:szCs w:val="21"/>
                    </w:rPr>
                    <w:t>户约</w:t>
                  </w:r>
                  <w:r>
                    <w:rPr>
                      <w:rFonts w:eastAsia="等线"/>
                      <w:color w:val="auto"/>
                      <w:sz w:val="21"/>
                      <w:szCs w:val="21"/>
                    </w:rPr>
                    <w:t>15</w:t>
                  </w:r>
                  <w:r>
                    <w:rPr>
                      <w:rFonts w:hint="eastAsia"/>
                      <w:color w:val="auto"/>
                      <w:sz w:val="21"/>
                      <w:szCs w:val="21"/>
                    </w:rPr>
                    <w:t>人</w:t>
                  </w:r>
                </w:p>
              </w:tc>
              <w:tc>
                <w:tcPr>
                  <w:tcW w:w="921" w:type="pct"/>
                  <w:vMerge w:val="continue"/>
                  <w:tcBorders>
                    <w:tl2br w:val="nil"/>
                    <w:tr2bl w:val="nil"/>
                  </w:tcBorders>
                  <w:vAlign w:val="center"/>
                </w:tcPr>
                <w:p w14:paraId="280F9186">
                  <w:pPr>
                    <w:autoSpaceDE/>
                    <w:autoSpaceDN/>
                    <w:adjustRightInd w:val="0"/>
                    <w:snapToGrid w:val="0"/>
                    <w:spacing w:line="240" w:lineRule="auto"/>
                    <w:ind w:firstLine="0" w:firstLineChars="0"/>
                    <w:jc w:val="center"/>
                    <w:rPr>
                      <w:color w:val="auto"/>
                      <w:sz w:val="21"/>
                      <w:szCs w:val="21"/>
                    </w:rPr>
                  </w:pPr>
                </w:p>
              </w:tc>
            </w:tr>
            <w:tr w14:paraId="59E56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754A6D31">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434BE3F7">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观山坪村村民</w:t>
                  </w:r>
                </w:p>
              </w:tc>
              <w:tc>
                <w:tcPr>
                  <w:tcW w:w="1302" w:type="pct"/>
                  <w:tcBorders>
                    <w:tl2br w:val="nil"/>
                    <w:tr2bl w:val="nil"/>
                  </w:tcBorders>
                  <w:vAlign w:val="center"/>
                </w:tcPr>
                <w:p w14:paraId="51755B9D">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1E486A8F">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9</w:t>
                  </w:r>
                  <w:r>
                    <w:rPr>
                      <w:rFonts w:hint="eastAsia"/>
                      <w:color w:val="auto"/>
                      <w:sz w:val="21"/>
                      <w:szCs w:val="21"/>
                    </w:rPr>
                    <w:t>户约</w:t>
                  </w:r>
                  <w:r>
                    <w:rPr>
                      <w:rFonts w:eastAsia="等线"/>
                      <w:color w:val="auto"/>
                      <w:sz w:val="21"/>
                      <w:szCs w:val="21"/>
                    </w:rPr>
                    <w:t>18</w:t>
                  </w:r>
                  <w:r>
                    <w:rPr>
                      <w:rFonts w:hint="eastAsia"/>
                      <w:color w:val="auto"/>
                      <w:sz w:val="21"/>
                      <w:szCs w:val="21"/>
                    </w:rPr>
                    <w:t>人</w:t>
                  </w:r>
                </w:p>
              </w:tc>
              <w:tc>
                <w:tcPr>
                  <w:tcW w:w="921" w:type="pct"/>
                  <w:vMerge w:val="continue"/>
                  <w:tcBorders>
                    <w:tl2br w:val="nil"/>
                    <w:tr2bl w:val="nil"/>
                  </w:tcBorders>
                  <w:vAlign w:val="center"/>
                </w:tcPr>
                <w:p w14:paraId="5B2C9F3A">
                  <w:pPr>
                    <w:autoSpaceDE/>
                    <w:autoSpaceDN/>
                    <w:adjustRightInd w:val="0"/>
                    <w:snapToGrid w:val="0"/>
                    <w:spacing w:line="240" w:lineRule="auto"/>
                    <w:ind w:firstLine="0" w:firstLineChars="0"/>
                    <w:jc w:val="center"/>
                    <w:rPr>
                      <w:color w:val="auto"/>
                      <w:sz w:val="21"/>
                      <w:szCs w:val="21"/>
                    </w:rPr>
                  </w:pPr>
                </w:p>
              </w:tc>
            </w:tr>
            <w:tr w14:paraId="5B202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50742C94">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13DF0961">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白土垭村居民</w:t>
                  </w:r>
                </w:p>
              </w:tc>
              <w:tc>
                <w:tcPr>
                  <w:tcW w:w="1302" w:type="pct"/>
                  <w:tcBorders>
                    <w:tl2br w:val="nil"/>
                    <w:tr2bl w:val="nil"/>
                  </w:tcBorders>
                  <w:vAlign w:val="center"/>
                </w:tcPr>
                <w:p w14:paraId="6E777905">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786AAA27">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4</w:t>
                  </w:r>
                  <w:r>
                    <w:rPr>
                      <w:rFonts w:hint="eastAsia"/>
                      <w:color w:val="auto"/>
                      <w:sz w:val="21"/>
                      <w:szCs w:val="21"/>
                    </w:rPr>
                    <w:t>户约</w:t>
                  </w:r>
                  <w:r>
                    <w:rPr>
                      <w:rFonts w:eastAsia="等线"/>
                      <w:color w:val="auto"/>
                      <w:sz w:val="21"/>
                      <w:szCs w:val="21"/>
                    </w:rPr>
                    <w:t>12</w:t>
                  </w:r>
                  <w:r>
                    <w:rPr>
                      <w:rFonts w:hint="eastAsia"/>
                      <w:color w:val="auto"/>
                      <w:sz w:val="21"/>
                      <w:szCs w:val="21"/>
                    </w:rPr>
                    <w:t>人</w:t>
                  </w:r>
                </w:p>
              </w:tc>
              <w:tc>
                <w:tcPr>
                  <w:tcW w:w="921" w:type="pct"/>
                  <w:vMerge w:val="continue"/>
                  <w:tcBorders>
                    <w:tl2br w:val="nil"/>
                    <w:tr2bl w:val="nil"/>
                  </w:tcBorders>
                  <w:vAlign w:val="center"/>
                </w:tcPr>
                <w:p w14:paraId="2F0E8564">
                  <w:pPr>
                    <w:autoSpaceDE/>
                    <w:autoSpaceDN/>
                    <w:adjustRightInd w:val="0"/>
                    <w:snapToGrid w:val="0"/>
                    <w:spacing w:line="240" w:lineRule="auto"/>
                    <w:ind w:firstLine="0" w:firstLineChars="0"/>
                    <w:jc w:val="center"/>
                    <w:rPr>
                      <w:color w:val="auto"/>
                      <w:sz w:val="21"/>
                      <w:szCs w:val="21"/>
                    </w:rPr>
                  </w:pPr>
                </w:p>
              </w:tc>
            </w:tr>
            <w:tr w14:paraId="03821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7B23F2F2">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2D2C2893">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铁佛镇镇街居民</w:t>
                  </w:r>
                </w:p>
              </w:tc>
              <w:tc>
                <w:tcPr>
                  <w:tcW w:w="1302" w:type="pct"/>
                  <w:tcBorders>
                    <w:tl2br w:val="nil"/>
                    <w:tr2bl w:val="nil"/>
                  </w:tcBorders>
                  <w:vAlign w:val="center"/>
                </w:tcPr>
                <w:p w14:paraId="121D5038">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099B2C65">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12</w:t>
                  </w:r>
                  <w:r>
                    <w:rPr>
                      <w:rFonts w:hint="eastAsia"/>
                      <w:color w:val="auto"/>
                      <w:sz w:val="21"/>
                      <w:szCs w:val="21"/>
                    </w:rPr>
                    <w:t>户约32人</w:t>
                  </w:r>
                </w:p>
              </w:tc>
              <w:tc>
                <w:tcPr>
                  <w:tcW w:w="921" w:type="pct"/>
                  <w:vMerge w:val="continue"/>
                  <w:tcBorders>
                    <w:tl2br w:val="nil"/>
                    <w:tr2bl w:val="nil"/>
                  </w:tcBorders>
                  <w:vAlign w:val="center"/>
                </w:tcPr>
                <w:p w14:paraId="2102CD13">
                  <w:pPr>
                    <w:autoSpaceDE/>
                    <w:autoSpaceDN/>
                    <w:adjustRightInd w:val="0"/>
                    <w:snapToGrid w:val="0"/>
                    <w:spacing w:line="240" w:lineRule="auto"/>
                    <w:ind w:firstLine="0" w:firstLineChars="0"/>
                    <w:jc w:val="center"/>
                    <w:rPr>
                      <w:color w:val="auto"/>
                      <w:sz w:val="21"/>
                      <w:szCs w:val="21"/>
                    </w:rPr>
                  </w:pPr>
                </w:p>
              </w:tc>
            </w:tr>
            <w:tr w14:paraId="70521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1AE665EC">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13E0DE50">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双泉村居民</w:t>
                  </w:r>
                </w:p>
              </w:tc>
              <w:tc>
                <w:tcPr>
                  <w:tcW w:w="1302" w:type="pct"/>
                  <w:tcBorders>
                    <w:tl2br w:val="nil"/>
                    <w:tr2bl w:val="nil"/>
                  </w:tcBorders>
                  <w:vAlign w:val="center"/>
                </w:tcPr>
                <w:p w14:paraId="34BD52CB">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5E1E0445">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22</w:t>
                  </w:r>
                  <w:r>
                    <w:rPr>
                      <w:rFonts w:hint="eastAsia"/>
                      <w:color w:val="auto"/>
                      <w:sz w:val="21"/>
                      <w:szCs w:val="21"/>
                    </w:rPr>
                    <w:t>户约</w:t>
                  </w:r>
                  <w:r>
                    <w:rPr>
                      <w:rFonts w:eastAsia="等线"/>
                      <w:color w:val="auto"/>
                      <w:sz w:val="21"/>
                      <w:szCs w:val="21"/>
                    </w:rPr>
                    <w:t>66</w:t>
                  </w:r>
                  <w:r>
                    <w:rPr>
                      <w:rFonts w:hint="eastAsia"/>
                      <w:color w:val="auto"/>
                      <w:sz w:val="21"/>
                      <w:szCs w:val="21"/>
                    </w:rPr>
                    <w:t>人</w:t>
                  </w:r>
                </w:p>
              </w:tc>
              <w:tc>
                <w:tcPr>
                  <w:tcW w:w="921" w:type="pct"/>
                  <w:vMerge w:val="continue"/>
                  <w:tcBorders>
                    <w:tl2br w:val="nil"/>
                    <w:tr2bl w:val="nil"/>
                  </w:tcBorders>
                  <w:vAlign w:val="center"/>
                </w:tcPr>
                <w:p w14:paraId="4096B2B1">
                  <w:pPr>
                    <w:autoSpaceDE/>
                    <w:autoSpaceDN/>
                    <w:adjustRightInd w:val="0"/>
                    <w:snapToGrid w:val="0"/>
                    <w:spacing w:line="240" w:lineRule="auto"/>
                    <w:ind w:firstLine="0" w:firstLineChars="0"/>
                    <w:jc w:val="center"/>
                    <w:rPr>
                      <w:color w:val="auto"/>
                      <w:sz w:val="21"/>
                      <w:szCs w:val="21"/>
                    </w:rPr>
                  </w:pPr>
                </w:p>
              </w:tc>
            </w:tr>
            <w:tr w14:paraId="765CC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1" w:type="pct"/>
                  <w:vMerge w:val="continue"/>
                  <w:tcBorders>
                    <w:tl2br w:val="nil"/>
                    <w:tr2bl w:val="nil"/>
                  </w:tcBorders>
                  <w:vAlign w:val="center"/>
                </w:tcPr>
                <w:p w14:paraId="30962F12">
                  <w:pPr>
                    <w:autoSpaceDE/>
                    <w:autoSpaceDN/>
                    <w:adjustRightInd w:val="0"/>
                    <w:snapToGrid w:val="0"/>
                    <w:spacing w:line="240" w:lineRule="auto"/>
                    <w:ind w:firstLine="0" w:firstLineChars="0"/>
                    <w:jc w:val="center"/>
                    <w:rPr>
                      <w:color w:val="auto"/>
                      <w:sz w:val="21"/>
                      <w:szCs w:val="21"/>
                    </w:rPr>
                  </w:pPr>
                </w:p>
              </w:tc>
              <w:tc>
                <w:tcPr>
                  <w:tcW w:w="915" w:type="pct"/>
                  <w:tcBorders>
                    <w:tl2br w:val="nil"/>
                    <w:tr2bl w:val="nil"/>
                  </w:tcBorders>
                  <w:vAlign w:val="center"/>
                </w:tcPr>
                <w:p w14:paraId="0C98A0A8">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白马村居民</w:t>
                  </w:r>
                </w:p>
              </w:tc>
              <w:tc>
                <w:tcPr>
                  <w:tcW w:w="1302" w:type="pct"/>
                  <w:tcBorders>
                    <w:tl2br w:val="nil"/>
                    <w:tr2bl w:val="nil"/>
                  </w:tcBorders>
                  <w:vAlign w:val="center"/>
                </w:tcPr>
                <w:p w14:paraId="5657FBB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管线铺设沿线</w:t>
                  </w:r>
                  <w:r>
                    <w:rPr>
                      <w:color w:val="auto"/>
                      <w:sz w:val="21"/>
                      <w:szCs w:val="21"/>
                    </w:rPr>
                    <w:t>50</w:t>
                  </w:r>
                  <w:r>
                    <w:rPr>
                      <w:rFonts w:hint="eastAsia"/>
                      <w:color w:val="auto"/>
                      <w:sz w:val="21"/>
                      <w:szCs w:val="21"/>
                    </w:rPr>
                    <w:t>米范围内</w:t>
                  </w:r>
                </w:p>
              </w:tc>
              <w:tc>
                <w:tcPr>
                  <w:tcW w:w="1192" w:type="pct"/>
                  <w:tcBorders>
                    <w:tl2br w:val="nil"/>
                    <w:tr2bl w:val="nil"/>
                  </w:tcBorders>
                  <w:vAlign w:val="center"/>
                </w:tcPr>
                <w:p w14:paraId="0860552E">
                  <w:pPr>
                    <w:autoSpaceDE/>
                    <w:autoSpaceDN/>
                    <w:adjustRightInd w:val="0"/>
                    <w:snapToGrid w:val="0"/>
                    <w:spacing w:line="240" w:lineRule="auto"/>
                    <w:ind w:firstLine="0" w:firstLineChars="0"/>
                    <w:jc w:val="center"/>
                    <w:rPr>
                      <w:color w:val="auto"/>
                      <w:sz w:val="21"/>
                      <w:szCs w:val="21"/>
                    </w:rPr>
                  </w:pPr>
                  <w:r>
                    <w:rPr>
                      <w:rFonts w:eastAsia="等线"/>
                      <w:color w:val="auto"/>
                      <w:sz w:val="21"/>
                      <w:szCs w:val="21"/>
                    </w:rPr>
                    <w:t>11</w:t>
                  </w:r>
                  <w:r>
                    <w:rPr>
                      <w:rFonts w:hint="eastAsia" w:ascii="等线" w:hAnsi="等线" w:eastAsia="等线"/>
                      <w:color w:val="auto"/>
                      <w:sz w:val="21"/>
                      <w:szCs w:val="21"/>
                    </w:rPr>
                    <w:t>户约</w:t>
                  </w:r>
                  <w:r>
                    <w:rPr>
                      <w:rFonts w:eastAsia="等线"/>
                      <w:color w:val="auto"/>
                      <w:sz w:val="21"/>
                      <w:szCs w:val="21"/>
                    </w:rPr>
                    <w:t>30</w:t>
                  </w:r>
                  <w:r>
                    <w:rPr>
                      <w:rFonts w:hint="eastAsia" w:ascii="等线" w:hAnsi="等线" w:eastAsia="等线"/>
                      <w:color w:val="auto"/>
                      <w:sz w:val="21"/>
                      <w:szCs w:val="21"/>
                    </w:rPr>
                    <w:t>人</w:t>
                  </w:r>
                </w:p>
              </w:tc>
              <w:tc>
                <w:tcPr>
                  <w:tcW w:w="921" w:type="pct"/>
                  <w:vMerge w:val="continue"/>
                  <w:tcBorders>
                    <w:tl2br w:val="nil"/>
                    <w:tr2bl w:val="nil"/>
                  </w:tcBorders>
                  <w:vAlign w:val="center"/>
                </w:tcPr>
                <w:p w14:paraId="72B073F0">
                  <w:pPr>
                    <w:autoSpaceDE/>
                    <w:autoSpaceDN/>
                    <w:adjustRightInd w:val="0"/>
                    <w:snapToGrid w:val="0"/>
                    <w:spacing w:line="240" w:lineRule="auto"/>
                    <w:ind w:firstLine="0" w:firstLineChars="0"/>
                    <w:jc w:val="center"/>
                    <w:rPr>
                      <w:color w:val="auto"/>
                      <w:sz w:val="21"/>
                      <w:szCs w:val="21"/>
                    </w:rPr>
                  </w:pPr>
                </w:p>
              </w:tc>
            </w:tr>
          </w:tbl>
          <w:p w14:paraId="344F8FA0">
            <w:pPr>
              <w:ind w:firstLine="482"/>
              <w:rPr>
                <w:b/>
                <w:bCs/>
                <w:color w:val="auto"/>
              </w:rPr>
            </w:pPr>
          </w:p>
          <w:p w14:paraId="5F6B2F37">
            <w:pPr>
              <w:ind w:firstLine="482"/>
              <w:rPr>
                <w:b/>
                <w:bCs/>
                <w:color w:val="auto"/>
              </w:rPr>
            </w:pPr>
            <w:r>
              <w:rPr>
                <w:rFonts w:hint="eastAsia"/>
                <w:b/>
                <w:bCs/>
                <w:color w:val="auto"/>
              </w:rPr>
              <w:t>四、地表水环境保护目标</w:t>
            </w:r>
          </w:p>
          <w:p w14:paraId="2DFF2B6C">
            <w:pPr>
              <w:ind w:firstLine="480"/>
              <w:rPr>
                <w:color w:val="auto"/>
              </w:rPr>
            </w:pPr>
            <w:r>
              <w:rPr>
                <w:rFonts w:hint="eastAsia"/>
                <w:color w:val="auto"/>
              </w:rPr>
              <w:t>据调查，项目周边主要水系为通江河，现场调查澌溪沟水库、</w:t>
            </w:r>
            <w:r>
              <w:rPr>
                <w:color w:val="auto"/>
              </w:rPr>
              <w:t>流里河水库</w:t>
            </w:r>
            <w:r>
              <w:rPr>
                <w:rFonts w:hint="eastAsia"/>
                <w:color w:val="auto"/>
              </w:rPr>
              <w:t>已划定为饮用水水源地，本项目另一取水地王家河水库考虑一并纳入保护目标，因此本项目水环境保护目标如下表所示。</w:t>
            </w:r>
          </w:p>
          <w:p w14:paraId="31318AED">
            <w:pPr>
              <w:pStyle w:val="17"/>
              <w:rPr>
                <w:rFonts w:hint="default"/>
                <w:color w:val="auto"/>
              </w:rPr>
            </w:pPr>
            <w:r>
              <w:rPr>
                <w:rFonts w:hint="default"/>
                <w:color w:val="auto"/>
              </w:rPr>
              <w:t>表3-</w:t>
            </w:r>
            <w:r>
              <w:rPr>
                <w:color w:val="auto"/>
              </w:rPr>
              <w:t>7地表水</w:t>
            </w:r>
            <w:r>
              <w:rPr>
                <w:rFonts w:hint="default"/>
                <w:color w:val="auto"/>
              </w:rPr>
              <w:t>环境主要保护目标</w:t>
            </w:r>
          </w:p>
          <w:tbl>
            <w:tblPr>
              <w:tblStyle w:val="1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152"/>
              <w:gridCol w:w="1971"/>
              <w:gridCol w:w="1845"/>
              <w:gridCol w:w="2240"/>
            </w:tblGrid>
            <w:tr w14:paraId="4192F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3" w:hRule="atLeast"/>
              </w:trPr>
              <w:tc>
                <w:tcPr>
                  <w:tcW w:w="671" w:type="pct"/>
                  <w:tcBorders>
                    <w:tl2br w:val="nil"/>
                    <w:tr2bl w:val="nil"/>
                  </w:tcBorders>
                  <w:vAlign w:val="center"/>
                </w:tcPr>
                <w:p w14:paraId="54AB84E2">
                  <w:pPr>
                    <w:autoSpaceDE/>
                    <w:autoSpaceDN/>
                    <w:adjustRightInd w:val="0"/>
                    <w:snapToGrid w:val="0"/>
                    <w:spacing w:line="240" w:lineRule="auto"/>
                    <w:ind w:firstLine="0" w:firstLineChars="0"/>
                    <w:jc w:val="center"/>
                    <w:rPr>
                      <w:color w:val="auto"/>
                      <w:sz w:val="21"/>
                      <w:szCs w:val="21"/>
                    </w:rPr>
                  </w:pPr>
                  <w:r>
                    <w:rPr>
                      <w:color w:val="auto"/>
                      <w:sz w:val="21"/>
                      <w:szCs w:val="21"/>
                    </w:rPr>
                    <w:t>环境要素</w:t>
                  </w:r>
                </w:p>
              </w:tc>
              <w:tc>
                <w:tcPr>
                  <w:tcW w:w="692" w:type="pct"/>
                  <w:tcBorders>
                    <w:tl2br w:val="nil"/>
                    <w:tr2bl w:val="nil"/>
                  </w:tcBorders>
                  <w:vAlign w:val="center"/>
                </w:tcPr>
                <w:p w14:paraId="5315A353">
                  <w:pPr>
                    <w:autoSpaceDE/>
                    <w:autoSpaceDN/>
                    <w:adjustRightInd w:val="0"/>
                    <w:snapToGrid w:val="0"/>
                    <w:spacing w:line="240" w:lineRule="auto"/>
                    <w:ind w:firstLine="0" w:firstLineChars="0"/>
                    <w:jc w:val="center"/>
                    <w:rPr>
                      <w:color w:val="auto"/>
                      <w:sz w:val="21"/>
                      <w:szCs w:val="21"/>
                    </w:rPr>
                  </w:pPr>
                  <w:r>
                    <w:rPr>
                      <w:color w:val="auto"/>
                      <w:sz w:val="21"/>
                      <w:szCs w:val="21"/>
                    </w:rPr>
                    <w:t>保护目标</w:t>
                  </w:r>
                </w:p>
              </w:tc>
              <w:tc>
                <w:tcPr>
                  <w:tcW w:w="1184" w:type="pct"/>
                  <w:tcBorders>
                    <w:tl2br w:val="nil"/>
                    <w:tr2bl w:val="nil"/>
                  </w:tcBorders>
                  <w:vAlign w:val="center"/>
                </w:tcPr>
                <w:p w14:paraId="00277D19">
                  <w:pPr>
                    <w:autoSpaceDE/>
                    <w:autoSpaceDN/>
                    <w:adjustRightInd w:val="0"/>
                    <w:snapToGrid w:val="0"/>
                    <w:spacing w:line="240" w:lineRule="auto"/>
                    <w:ind w:firstLine="0" w:firstLineChars="0"/>
                    <w:jc w:val="center"/>
                    <w:rPr>
                      <w:color w:val="auto"/>
                      <w:sz w:val="21"/>
                      <w:szCs w:val="21"/>
                    </w:rPr>
                  </w:pPr>
                  <w:r>
                    <w:rPr>
                      <w:color w:val="auto"/>
                      <w:sz w:val="21"/>
                      <w:szCs w:val="21"/>
                    </w:rPr>
                    <w:t>相对位置、距离</w:t>
                  </w:r>
                </w:p>
              </w:tc>
              <w:tc>
                <w:tcPr>
                  <w:tcW w:w="1108" w:type="pct"/>
                  <w:tcBorders>
                    <w:tl2br w:val="nil"/>
                    <w:tr2bl w:val="nil"/>
                  </w:tcBorders>
                  <w:vAlign w:val="center"/>
                </w:tcPr>
                <w:p w14:paraId="05F6E8AD">
                  <w:pPr>
                    <w:autoSpaceDE/>
                    <w:autoSpaceDN/>
                    <w:adjustRightInd w:val="0"/>
                    <w:snapToGrid w:val="0"/>
                    <w:spacing w:line="240" w:lineRule="auto"/>
                    <w:ind w:firstLine="0" w:firstLineChars="0"/>
                    <w:jc w:val="center"/>
                    <w:rPr>
                      <w:color w:val="auto"/>
                      <w:sz w:val="21"/>
                      <w:szCs w:val="21"/>
                    </w:rPr>
                  </w:pPr>
                  <w:r>
                    <w:rPr>
                      <w:color w:val="auto"/>
                      <w:sz w:val="21"/>
                      <w:szCs w:val="21"/>
                    </w:rPr>
                    <w:t>规模/功能</w:t>
                  </w:r>
                </w:p>
              </w:tc>
              <w:tc>
                <w:tcPr>
                  <w:tcW w:w="1345" w:type="pct"/>
                  <w:tcBorders>
                    <w:tl2br w:val="nil"/>
                    <w:tr2bl w:val="nil"/>
                  </w:tcBorders>
                  <w:vAlign w:val="center"/>
                </w:tcPr>
                <w:p w14:paraId="6C48D7FD">
                  <w:pPr>
                    <w:autoSpaceDE/>
                    <w:autoSpaceDN/>
                    <w:adjustRightInd w:val="0"/>
                    <w:snapToGrid w:val="0"/>
                    <w:spacing w:line="240" w:lineRule="auto"/>
                    <w:ind w:firstLine="0" w:firstLineChars="0"/>
                    <w:jc w:val="center"/>
                    <w:rPr>
                      <w:color w:val="auto"/>
                      <w:sz w:val="21"/>
                      <w:szCs w:val="21"/>
                    </w:rPr>
                  </w:pPr>
                  <w:r>
                    <w:rPr>
                      <w:color w:val="auto"/>
                      <w:sz w:val="21"/>
                      <w:szCs w:val="21"/>
                    </w:rPr>
                    <w:t>保护级别</w:t>
                  </w:r>
                </w:p>
              </w:tc>
            </w:tr>
            <w:tr w14:paraId="32F22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1" w:type="pct"/>
                  <w:vMerge w:val="restart"/>
                  <w:tcBorders>
                    <w:tl2br w:val="nil"/>
                    <w:tr2bl w:val="nil"/>
                  </w:tcBorders>
                  <w:vAlign w:val="center"/>
                </w:tcPr>
                <w:p w14:paraId="59093194">
                  <w:pPr>
                    <w:adjustRightInd w:val="0"/>
                    <w:snapToGrid w:val="0"/>
                    <w:spacing w:line="240" w:lineRule="auto"/>
                    <w:ind w:firstLine="0" w:firstLineChars="0"/>
                    <w:jc w:val="center"/>
                    <w:rPr>
                      <w:color w:val="auto"/>
                      <w:sz w:val="21"/>
                      <w:szCs w:val="21"/>
                    </w:rPr>
                  </w:pPr>
                  <w:r>
                    <w:rPr>
                      <w:color w:val="auto"/>
                      <w:sz w:val="21"/>
                      <w:szCs w:val="21"/>
                    </w:rPr>
                    <w:t>地表水环境</w:t>
                  </w:r>
                </w:p>
              </w:tc>
              <w:tc>
                <w:tcPr>
                  <w:tcW w:w="692" w:type="pct"/>
                  <w:tcBorders>
                    <w:tl2br w:val="nil"/>
                    <w:tr2bl w:val="nil"/>
                  </w:tcBorders>
                  <w:vAlign w:val="center"/>
                </w:tcPr>
                <w:p w14:paraId="50BFE1CB">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流里河水库</w:t>
                  </w:r>
                </w:p>
              </w:tc>
              <w:tc>
                <w:tcPr>
                  <w:tcW w:w="1184" w:type="pct"/>
                  <w:tcBorders>
                    <w:tl2br w:val="nil"/>
                    <w:tr2bl w:val="nil"/>
                  </w:tcBorders>
                  <w:vAlign w:val="center"/>
                </w:tcPr>
                <w:p w14:paraId="6C45F937">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本项目取水地</w:t>
                  </w:r>
                </w:p>
              </w:tc>
              <w:tc>
                <w:tcPr>
                  <w:tcW w:w="1108" w:type="pct"/>
                  <w:tcBorders>
                    <w:tl2br w:val="nil"/>
                    <w:tr2bl w:val="nil"/>
                  </w:tcBorders>
                  <w:vAlign w:val="center"/>
                </w:tcPr>
                <w:p w14:paraId="5376B654">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饮用水、灌溉水源地</w:t>
                  </w:r>
                </w:p>
              </w:tc>
              <w:tc>
                <w:tcPr>
                  <w:tcW w:w="1345" w:type="pct"/>
                  <w:tcBorders>
                    <w:tl2br w:val="nil"/>
                    <w:tr2bl w:val="nil"/>
                  </w:tcBorders>
                  <w:vAlign w:val="center"/>
                </w:tcPr>
                <w:p w14:paraId="0C3D9E65">
                  <w:pPr>
                    <w:autoSpaceDE/>
                    <w:autoSpaceDN/>
                    <w:adjustRightInd w:val="0"/>
                    <w:snapToGrid w:val="0"/>
                    <w:spacing w:line="240" w:lineRule="auto"/>
                    <w:ind w:firstLine="0" w:firstLineChars="0"/>
                    <w:jc w:val="center"/>
                    <w:rPr>
                      <w:color w:val="auto"/>
                      <w:sz w:val="21"/>
                      <w:szCs w:val="21"/>
                    </w:rPr>
                  </w:pPr>
                  <w:r>
                    <w:rPr>
                      <w:color w:val="auto"/>
                      <w:sz w:val="21"/>
                      <w:szCs w:val="21"/>
                    </w:rPr>
                    <w:t>《地表水环境质量标准》（GB3838-2002）</w:t>
                  </w: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 2 \* ROMAN</w:instrText>
                  </w:r>
                  <w:r>
                    <w:rPr>
                      <w:color w:val="auto"/>
                      <w:sz w:val="21"/>
                      <w:szCs w:val="21"/>
                    </w:rPr>
                    <w:instrText xml:space="preserve"> </w:instrText>
                  </w:r>
                  <w:r>
                    <w:rPr>
                      <w:color w:val="auto"/>
                      <w:sz w:val="21"/>
                      <w:szCs w:val="21"/>
                    </w:rPr>
                    <w:fldChar w:fldCharType="separate"/>
                  </w:r>
                  <w:r>
                    <w:rPr>
                      <w:color w:val="auto"/>
                      <w:sz w:val="21"/>
                      <w:szCs w:val="21"/>
                    </w:rPr>
                    <w:t>II</w:t>
                  </w:r>
                  <w:r>
                    <w:rPr>
                      <w:color w:val="auto"/>
                      <w:sz w:val="21"/>
                      <w:szCs w:val="21"/>
                    </w:rPr>
                    <w:fldChar w:fldCharType="end"/>
                  </w:r>
                  <w:r>
                    <w:rPr>
                      <w:color w:val="auto"/>
                      <w:sz w:val="21"/>
                      <w:szCs w:val="21"/>
                    </w:rPr>
                    <w:t>类水域标准</w:t>
                  </w:r>
                </w:p>
              </w:tc>
            </w:tr>
            <w:tr w14:paraId="32FBC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1" w:type="pct"/>
                  <w:vMerge w:val="continue"/>
                  <w:tcBorders>
                    <w:tl2br w:val="nil"/>
                    <w:tr2bl w:val="nil"/>
                  </w:tcBorders>
                  <w:vAlign w:val="center"/>
                </w:tcPr>
                <w:p w14:paraId="0FAE7A7F">
                  <w:pPr>
                    <w:adjustRightInd w:val="0"/>
                    <w:snapToGrid w:val="0"/>
                    <w:spacing w:line="240" w:lineRule="auto"/>
                    <w:ind w:firstLine="420"/>
                    <w:jc w:val="center"/>
                    <w:rPr>
                      <w:color w:val="auto"/>
                      <w:sz w:val="21"/>
                      <w:szCs w:val="21"/>
                    </w:rPr>
                  </w:pPr>
                </w:p>
              </w:tc>
              <w:tc>
                <w:tcPr>
                  <w:tcW w:w="692" w:type="pct"/>
                  <w:tcBorders>
                    <w:tl2br w:val="nil"/>
                    <w:tr2bl w:val="nil"/>
                  </w:tcBorders>
                  <w:vAlign w:val="center"/>
                </w:tcPr>
                <w:p w14:paraId="339E10D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澌溪沟水库</w:t>
                  </w:r>
                </w:p>
              </w:tc>
              <w:tc>
                <w:tcPr>
                  <w:tcW w:w="1184" w:type="pct"/>
                  <w:tcBorders>
                    <w:tl2br w:val="nil"/>
                    <w:tr2bl w:val="nil"/>
                  </w:tcBorders>
                  <w:vAlign w:val="center"/>
                </w:tcPr>
                <w:p w14:paraId="51F8AC25">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本项目取水地</w:t>
                  </w:r>
                </w:p>
              </w:tc>
              <w:tc>
                <w:tcPr>
                  <w:tcW w:w="1108" w:type="pct"/>
                  <w:tcBorders>
                    <w:tl2br w:val="nil"/>
                    <w:tr2bl w:val="nil"/>
                  </w:tcBorders>
                  <w:vAlign w:val="center"/>
                </w:tcPr>
                <w:p w14:paraId="4BF0EF71">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灌溉水源地</w:t>
                  </w:r>
                </w:p>
              </w:tc>
              <w:tc>
                <w:tcPr>
                  <w:tcW w:w="1345" w:type="pct"/>
                  <w:tcBorders>
                    <w:tl2br w:val="nil"/>
                    <w:tr2bl w:val="nil"/>
                  </w:tcBorders>
                  <w:vAlign w:val="center"/>
                </w:tcPr>
                <w:p w14:paraId="751EA062">
                  <w:pPr>
                    <w:autoSpaceDE/>
                    <w:autoSpaceDN/>
                    <w:adjustRightInd w:val="0"/>
                    <w:snapToGrid w:val="0"/>
                    <w:spacing w:line="240" w:lineRule="auto"/>
                    <w:ind w:firstLine="0" w:firstLineChars="0"/>
                    <w:jc w:val="center"/>
                    <w:rPr>
                      <w:color w:val="auto"/>
                      <w:sz w:val="21"/>
                      <w:szCs w:val="21"/>
                    </w:rPr>
                  </w:pPr>
                  <w:r>
                    <w:rPr>
                      <w:color w:val="auto"/>
                      <w:sz w:val="21"/>
                      <w:szCs w:val="21"/>
                    </w:rPr>
                    <w:t>《地表水环境质量标准》（GB3838-2002）</w:t>
                  </w: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 2 \* ROMAN</w:instrText>
                  </w:r>
                  <w:r>
                    <w:rPr>
                      <w:color w:val="auto"/>
                      <w:sz w:val="21"/>
                      <w:szCs w:val="21"/>
                    </w:rPr>
                    <w:instrText xml:space="preserve"> </w:instrText>
                  </w:r>
                  <w:r>
                    <w:rPr>
                      <w:color w:val="auto"/>
                      <w:sz w:val="21"/>
                      <w:szCs w:val="21"/>
                    </w:rPr>
                    <w:fldChar w:fldCharType="separate"/>
                  </w:r>
                  <w:r>
                    <w:rPr>
                      <w:color w:val="auto"/>
                      <w:sz w:val="21"/>
                      <w:szCs w:val="21"/>
                    </w:rPr>
                    <w:t>II</w:t>
                  </w:r>
                  <w:r>
                    <w:rPr>
                      <w:color w:val="auto"/>
                      <w:sz w:val="21"/>
                      <w:szCs w:val="21"/>
                    </w:rPr>
                    <w:fldChar w:fldCharType="end"/>
                  </w:r>
                  <w:r>
                    <w:rPr>
                      <w:color w:val="auto"/>
                      <w:sz w:val="21"/>
                      <w:szCs w:val="21"/>
                    </w:rPr>
                    <w:t>类水域标准</w:t>
                  </w:r>
                </w:p>
              </w:tc>
            </w:tr>
            <w:tr w14:paraId="72862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1" w:type="pct"/>
                  <w:vMerge w:val="continue"/>
                  <w:tcBorders>
                    <w:tl2br w:val="nil"/>
                    <w:tr2bl w:val="nil"/>
                  </w:tcBorders>
                  <w:vAlign w:val="center"/>
                </w:tcPr>
                <w:p w14:paraId="47A11972">
                  <w:pPr>
                    <w:adjustRightInd w:val="0"/>
                    <w:snapToGrid w:val="0"/>
                    <w:spacing w:line="240" w:lineRule="auto"/>
                    <w:ind w:firstLine="420"/>
                    <w:jc w:val="center"/>
                    <w:rPr>
                      <w:color w:val="auto"/>
                      <w:sz w:val="21"/>
                      <w:szCs w:val="21"/>
                    </w:rPr>
                  </w:pPr>
                </w:p>
              </w:tc>
              <w:tc>
                <w:tcPr>
                  <w:tcW w:w="692" w:type="pct"/>
                  <w:tcBorders>
                    <w:tl2br w:val="nil"/>
                    <w:tr2bl w:val="nil"/>
                  </w:tcBorders>
                  <w:vAlign w:val="center"/>
                </w:tcPr>
                <w:p w14:paraId="0A5A0CA6">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王家河水库</w:t>
                  </w:r>
                </w:p>
              </w:tc>
              <w:tc>
                <w:tcPr>
                  <w:tcW w:w="1184" w:type="pct"/>
                  <w:tcBorders>
                    <w:tl2br w:val="nil"/>
                    <w:tr2bl w:val="nil"/>
                  </w:tcBorders>
                  <w:vAlign w:val="center"/>
                </w:tcPr>
                <w:p w14:paraId="3BA3F4CD">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本项目取水地</w:t>
                  </w:r>
                </w:p>
              </w:tc>
              <w:tc>
                <w:tcPr>
                  <w:tcW w:w="1108" w:type="pct"/>
                  <w:tcBorders>
                    <w:tl2br w:val="nil"/>
                    <w:tr2bl w:val="nil"/>
                  </w:tcBorders>
                  <w:vAlign w:val="center"/>
                </w:tcPr>
                <w:p w14:paraId="1BF334AA">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饮用水水源</w:t>
                  </w:r>
                </w:p>
              </w:tc>
              <w:tc>
                <w:tcPr>
                  <w:tcW w:w="1345" w:type="pct"/>
                  <w:tcBorders>
                    <w:tl2br w:val="nil"/>
                    <w:tr2bl w:val="nil"/>
                  </w:tcBorders>
                  <w:vAlign w:val="center"/>
                </w:tcPr>
                <w:p w14:paraId="5C382F94">
                  <w:pPr>
                    <w:autoSpaceDE/>
                    <w:autoSpaceDN/>
                    <w:adjustRightInd w:val="0"/>
                    <w:snapToGrid w:val="0"/>
                    <w:spacing w:line="240" w:lineRule="auto"/>
                    <w:ind w:firstLine="0" w:firstLineChars="0"/>
                    <w:jc w:val="center"/>
                    <w:rPr>
                      <w:color w:val="auto"/>
                      <w:sz w:val="21"/>
                      <w:szCs w:val="21"/>
                    </w:rPr>
                  </w:pPr>
                  <w:r>
                    <w:rPr>
                      <w:color w:val="auto"/>
                      <w:sz w:val="21"/>
                      <w:szCs w:val="21"/>
                    </w:rPr>
                    <w:t>《地表水环境质量标准》（GB3838-2002）</w:t>
                  </w: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 2 \* ROMAN</w:instrText>
                  </w:r>
                  <w:r>
                    <w:rPr>
                      <w:color w:val="auto"/>
                      <w:sz w:val="21"/>
                      <w:szCs w:val="21"/>
                    </w:rPr>
                    <w:instrText xml:space="preserve"> </w:instrText>
                  </w:r>
                  <w:r>
                    <w:rPr>
                      <w:color w:val="auto"/>
                      <w:sz w:val="21"/>
                      <w:szCs w:val="21"/>
                    </w:rPr>
                    <w:fldChar w:fldCharType="separate"/>
                  </w:r>
                  <w:r>
                    <w:rPr>
                      <w:color w:val="auto"/>
                      <w:sz w:val="21"/>
                      <w:szCs w:val="21"/>
                    </w:rPr>
                    <w:t>II</w:t>
                  </w:r>
                  <w:r>
                    <w:rPr>
                      <w:color w:val="auto"/>
                      <w:sz w:val="21"/>
                      <w:szCs w:val="21"/>
                    </w:rPr>
                    <w:fldChar w:fldCharType="end"/>
                  </w:r>
                  <w:r>
                    <w:rPr>
                      <w:color w:val="auto"/>
                      <w:sz w:val="21"/>
                      <w:szCs w:val="21"/>
                    </w:rPr>
                    <w:t>类水域标准</w:t>
                  </w:r>
                </w:p>
              </w:tc>
            </w:tr>
            <w:tr w14:paraId="3552D1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1" w:type="pct"/>
                  <w:vMerge w:val="continue"/>
                  <w:tcBorders>
                    <w:tl2br w:val="nil"/>
                    <w:tr2bl w:val="nil"/>
                  </w:tcBorders>
                  <w:vAlign w:val="center"/>
                </w:tcPr>
                <w:p w14:paraId="3DB66E2E">
                  <w:pPr>
                    <w:autoSpaceDE/>
                    <w:autoSpaceDN/>
                    <w:adjustRightInd w:val="0"/>
                    <w:snapToGrid w:val="0"/>
                    <w:spacing w:line="240" w:lineRule="auto"/>
                    <w:ind w:firstLine="0" w:firstLineChars="0"/>
                    <w:jc w:val="center"/>
                    <w:rPr>
                      <w:color w:val="auto"/>
                      <w:sz w:val="21"/>
                      <w:szCs w:val="21"/>
                    </w:rPr>
                  </w:pPr>
                </w:p>
              </w:tc>
              <w:tc>
                <w:tcPr>
                  <w:tcW w:w="692" w:type="pct"/>
                  <w:tcBorders>
                    <w:tl2br w:val="nil"/>
                    <w:tr2bl w:val="nil"/>
                  </w:tcBorders>
                  <w:vAlign w:val="center"/>
                </w:tcPr>
                <w:p w14:paraId="1AADA9FD">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通江河</w:t>
                  </w:r>
                </w:p>
              </w:tc>
              <w:tc>
                <w:tcPr>
                  <w:tcW w:w="1184" w:type="pct"/>
                  <w:tcBorders>
                    <w:tl2br w:val="nil"/>
                    <w:tr2bl w:val="nil"/>
                  </w:tcBorders>
                  <w:vAlign w:val="center"/>
                </w:tcPr>
                <w:p w14:paraId="135F0922">
                  <w:pPr>
                    <w:autoSpaceDE/>
                    <w:autoSpaceDN/>
                    <w:adjustRightInd w:val="0"/>
                    <w:snapToGrid w:val="0"/>
                    <w:spacing w:line="240" w:lineRule="auto"/>
                    <w:ind w:firstLine="0" w:firstLineChars="0"/>
                    <w:jc w:val="center"/>
                    <w:rPr>
                      <w:color w:val="auto"/>
                      <w:sz w:val="21"/>
                      <w:szCs w:val="21"/>
                    </w:rPr>
                  </w:pPr>
                  <w:r>
                    <w:rPr>
                      <w:rFonts w:hint="eastAsia"/>
                      <w:color w:val="auto"/>
                      <w:sz w:val="21"/>
                      <w:szCs w:val="21"/>
                    </w:rPr>
                    <w:t>本项目灌溉退水区</w:t>
                  </w:r>
                </w:p>
              </w:tc>
              <w:tc>
                <w:tcPr>
                  <w:tcW w:w="1108" w:type="pct"/>
                  <w:tcBorders>
                    <w:tl2br w:val="nil"/>
                    <w:tr2bl w:val="nil"/>
                  </w:tcBorders>
                  <w:vAlign w:val="center"/>
                </w:tcPr>
                <w:p w14:paraId="3FEE15FF">
                  <w:pPr>
                    <w:autoSpaceDE/>
                    <w:autoSpaceDN/>
                    <w:adjustRightInd w:val="0"/>
                    <w:snapToGrid w:val="0"/>
                    <w:spacing w:line="240" w:lineRule="auto"/>
                    <w:ind w:firstLine="0" w:firstLineChars="0"/>
                    <w:jc w:val="center"/>
                    <w:rPr>
                      <w:color w:val="auto"/>
                      <w:sz w:val="21"/>
                      <w:szCs w:val="21"/>
                    </w:rPr>
                  </w:pPr>
                  <w:r>
                    <w:rPr>
                      <w:color w:val="auto"/>
                      <w:sz w:val="21"/>
                      <w:szCs w:val="21"/>
                    </w:rPr>
                    <w:t>行洪、通航、一般工农业用水</w:t>
                  </w:r>
                </w:p>
              </w:tc>
              <w:tc>
                <w:tcPr>
                  <w:tcW w:w="1345" w:type="pct"/>
                  <w:tcBorders>
                    <w:tl2br w:val="nil"/>
                    <w:tr2bl w:val="nil"/>
                  </w:tcBorders>
                  <w:vAlign w:val="center"/>
                </w:tcPr>
                <w:p w14:paraId="2BCEBDC4">
                  <w:pPr>
                    <w:autoSpaceDE/>
                    <w:autoSpaceDN/>
                    <w:adjustRightInd w:val="0"/>
                    <w:snapToGrid w:val="0"/>
                    <w:spacing w:line="240" w:lineRule="auto"/>
                    <w:ind w:firstLine="0" w:firstLineChars="0"/>
                    <w:jc w:val="center"/>
                    <w:rPr>
                      <w:color w:val="auto"/>
                      <w:sz w:val="21"/>
                      <w:szCs w:val="21"/>
                    </w:rPr>
                  </w:pPr>
                  <w:r>
                    <w:rPr>
                      <w:color w:val="auto"/>
                      <w:sz w:val="21"/>
                      <w:szCs w:val="21"/>
                    </w:rPr>
                    <w:t>《地表水环境质量标准》（GB3838-2002）Ⅲ类水域标准</w:t>
                  </w:r>
                </w:p>
              </w:tc>
            </w:tr>
          </w:tbl>
          <w:p w14:paraId="11590F04">
            <w:pPr>
              <w:ind w:firstLine="482"/>
              <w:rPr>
                <w:b/>
                <w:bCs/>
                <w:color w:val="auto"/>
              </w:rPr>
            </w:pPr>
          </w:p>
          <w:p w14:paraId="4546CDBB">
            <w:pPr>
              <w:ind w:firstLine="482"/>
              <w:rPr>
                <w:b/>
                <w:bCs/>
                <w:color w:val="auto"/>
              </w:rPr>
            </w:pPr>
            <w:r>
              <w:rPr>
                <w:rFonts w:hint="eastAsia"/>
                <w:b/>
                <w:bCs/>
                <w:color w:val="auto"/>
              </w:rPr>
              <w:t>五、</w:t>
            </w:r>
            <w:r>
              <w:rPr>
                <w:b/>
                <w:bCs/>
                <w:color w:val="auto"/>
              </w:rPr>
              <w:t>地下水环境保护目标</w:t>
            </w:r>
          </w:p>
          <w:p w14:paraId="484F643D">
            <w:pPr>
              <w:ind w:firstLine="480"/>
              <w:rPr>
                <w:color w:val="auto"/>
              </w:rPr>
            </w:pPr>
            <w:r>
              <w:rPr>
                <w:color w:val="auto"/>
              </w:rPr>
              <w:t>根据调查，项目沿线500米范围内无地下水集中式饮用水水源和热水、矿泉水等特殊地下水资源。</w:t>
            </w:r>
          </w:p>
        </w:tc>
      </w:tr>
      <w:tr w14:paraId="7E8DF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52" w:type="dxa"/>
            <w:vAlign w:val="center"/>
          </w:tcPr>
          <w:p w14:paraId="327AB79B">
            <w:pPr>
              <w:adjustRightInd w:val="0"/>
              <w:snapToGrid w:val="0"/>
              <w:ind w:firstLine="0" w:firstLineChars="0"/>
              <w:rPr>
                <w:color w:val="auto"/>
                <w:kern w:val="0"/>
                <w:sz w:val="20"/>
                <w:szCs w:val="20"/>
              </w:rPr>
            </w:pPr>
            <w:r>
              <w:rPr>
                <w:rFonts w:hint="eastAsia"/>
                <w:color w:val="auto"/>
                <w:kern w:val="0"/>
                <w:sz w:val="20"/>
                <w:szCs w:val="20"/>
              </w:rPr>
              <w:t>评价</w:t>
            </w:r>
          </w:p>
          <w:p w14:paraId="28E2967E">
            <w:pPr>
              <w:adjustRightInd w:val="0"/>
              <w:snapToGrid w:val="0"/>
              <w:ind w:firstLine="0" w:firstLineChars="0"/>
              <w:rPr>
                <w:color w:val="auto"/>
                <w:kern w:val="0"/>
                <w:sz w:val="20"/>
                <w:szCs w:val="20"/>
              </w:rPr>
            </w:pPr>
            <w:r>
              <w:rPr>
                <w:rFonts w:hint="eastAsia"/>
                <w:color w:val="auto"/>
                <w:kern w:val="0"/>
                <w:sz w:val="20"/>
                <w:szCs w:val="20"/>
              </w:rPr>
              <w:t>标准</w:t>
            </w:r>
          </w:p>
        </w:tc>
        <w:tc>
          <w:tcPr>
            <w:tcW w:w="8305" w:type="dxa"/>
            <w:vAlign w:val="center"/>
          </w:tcPr>
          <w:p w14:paraId="17B429CE">
            <w:pPr>
              <w:pStyle w:val="4"/>
              <w:ind w:firstLine="482"/>
              <w:rPr>
                <w:color w:val="auto"/>
              </w:rPr>
            </w:pPr>
            <w:r>
              <w:rPr>
                <w:color w:val="auto"/>
              </w:rPr>
              <w:t>一、环境质量标准</w:t>
            </w:r>
          </w:p>
          <w:p w14:paraId="75B488FE">
            <w:pPr>
              <w:pStyle w:val="4"/>
              <w:ind w:firstLine="482"/>
              <w:rPr>
                <w:color w:val="auto"/>
              </w:rPr>
            </w:pPr>
            <w:r>
              <w:rPr>
                <w:color w:val="auto"/>
              </w:rPr>
              <w:t>1、环境空气</w:t>
            </w:r>
          </w:p>
          <w:p w14:paraId="29F86B37">
            <w:pPr>
              <w:ind w:firstLine="480"/>
              <w:rPr>
                <w:color w:val="auto"/>
              </w:rPr>
            </w:pPr>
            <w:r>
              <w:rPr>
                <w:color w:val="auto"/>
              </w:rPr>
              <w:t>根据《环境空气质量标准》（GB3095-20</w:t>
            </w:r>
            <w:r>
              <w:rPr>
                <w:rFonts w:hint="eastAsia"/>
                <w:color w:val="auto"/>
              </w:rPr>
              <w:t>26</w:t>
            </w:r>
            <w:r>
              <w:rPr>
                <w:color w:val="auto"/>
              </w:rPr>
              <w:t>），项目路段经过区域属于二类环境功能区，执行《环境空气质量标准》（GB3095-20</w:t>
            </w:r>
            <w:r>
              <w:rPr>
                <w:rFonts w:hint="eastAsia"/>
                <w:color w:val="auto"/>
              </w:rPr>
              <w:t>26</w:t>
            </w:r>
            <w:r>
              <w:rPr>
                <w:color w:val="auto"/>
              </w:rPr>
              <w:t>）中的</w:t>
            </w:r>
            <w:r>
              <w:rPr>
                <w:rFonts w:hint="eastAsia"/>
                <w:color w:val="auto"/>
              </w:rPr>
              <w:t>过渡阶段浓度限值</w:t>
            </w:r>
            <w:r>
              <w:rPr>
                <w:color w:val="auto"/>
              </w:rPr>
              <w:t>二级标准。标准值见表3-</w:t>
            </w:r>
            <w:r>
              <w:rPr>
                <w:rFonts w:hint="eastAsia"/>
                <w:color w:val="auto"/>
              </w:rPr>
              <w:t>8</w:t>
            </w:r>
            <w:r>
              <w:rPr>
                <w:color w:val="auto"/>
              </w:rPr>
              <w:t>。</w:t>
            </w:r>
          </w:p>
          <w:p w14:paraId="3A35E909">
            <w:pPr>
              <w:pStyle w:val="17"/>
              <w:rPr>
                <w:rFonts w:hint="default"/>
                <w:color w:val="auto"/>
              </w:rPr>
            </w:pPr>
            <w:r>
              <w:rPr>
                <w:rFonts w:hint="default"/>
                <w:color w:val="auto"/>
              </w:rPr>
              <w:t>表3-</w:t>
            </w:r>
            <w:r>
              <w:rPr>
                <w:color w:val="auto"/>
              </w:rPr>
              <w:t>8</w:t>
            </w:r>
            <w:r>
              <w:rPr>
                <w:rFonts w:hint="default"/>
                <w:color w:val="auto"/>
              </w:rPr>
              <w:t>《环境空气质量标准》（GB3095-20</w:t>
            </w:r>
            <w:r>
              <w:rPr>
                <w:color w:val="auto"/>
              </w:rPr>
              <w:t>26</w:t>
            </w:r>
            <w:r>
              <w:rPr>
                <w:rFonts w:hint="default"/>
                <w:color w:val="auto"/>
              </w:rPr>
              <w:t>）单位：μg/m</w:t>
            </w:r>
            <w:r>
              <w:rPr>
                <w:rFonts w:hint="default"/>
                <w:color w:val="auto"/>
                <w:vertAlign w:val="superscript"/>
              </w:rPr>
              <w:t>3</w:t>
            </w:r>
          </w:p>
          <w:tbl>
            <w:tblPr>
              <w:tblStyle w:val="1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843"/>
              <w:gridCol w:w="989"/>
              <w:gridCol w:w="1039"/>
              <w:gridCol w:w="1004"/>
              <w:gridCol w:w="1138"/>
              <w:gridCol w:w="1021"/>
              <w:gridCol w:w="1139"/>
            </w:tblGrid>
            <w:tr w14:paraId="47D5F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vAlign w:val="center"/>
                </w:tcPr>
                <w:p w14:paraId="4139BFC2">
                  <w:pPr>
                    <w:pStyle w:val="16"/>
                    <w:jc w:val="center"/>
                    <w:rPr>
                      <w:color w:val="auto"/>
                    </w:rPr>
                  </w:pPr>
                  <w:r>
                    <w:rPr>
                      <w:color w:val="auto"/>
                    </w:rPr>
                    <w:t>项目</w:t>
                  </w:r>
                </w:p>
              </w:tc>
              <w:tc>
                <w:tcPr>
                  <w:tcW w:w="506" w:type="pct"/>
                  <w:vAlign w:val="center"/>
                </w:tcPr>
                <w:p w14:paraId="5F7E45DF">
                  <w:pPr>
                    <w:pStyle w:val="16"/>
                    <w:jc w:val="center"/>
                    <w:rPr>
                      <w:color w:val="auto"/>
                    </w:rPr>
                  </w:pPr>
                  <w:r>
                    <w:rPr>
                      <w:color w:val="auto"/>
                    </w:rPr>
                    <w:t>SO</w:t>
                  </w:r>
                  <w:r>
                    <w:rPr>
                      <w:color w:val="auto"/>
                      <w:vertAlign w:val="subscript"/>
                    </w:rPr>
                    <w:t>2</w:t>
                  </w:r>
                </w:p>
              </w:tc>
              <w:tc>
                <w:tcPr>
                  <w:tcW w:w="594" w:type="pct"/>
                  <w:vAlign w:val="center"/>
                </w:tcPr>
                <w:p w14:paraId="0A4B7865">
                  <w:pPr>
                    <w:pStyle w:val="16"/>
                    <w:jc w:val="center"/>
                    <w:rPr>
                      <w:color w:val="auto"/>
                    </w:rPr>
                  </w:pPr>
                  <w:r>
                    <w:rPr>
                      <w:color w:val="auto"/>
                    </w:rPr>
                    <w:t>NO</w:t>
                  </w:r>
                  <w:r>
                    <w:rPr>
                      <w:color w:val="auto"/>
                      <w:vertAlign w:val="subscript"/>
                    </w:rPr>
                    <w:t>2</w:t>
                  </w:r>
                </w:p>
              </w:tc>
              <w:tc>
                <w:tcPr>
                  <w:tcW w:w="624" w:type="pct"/>
                  <w:vAlign w:val="center"/>
                </w:tcPr>
                <w:p w14:paraId="0C568240">
                  <w:pPr>
                    <w:pStyle w:val="16"/>
                    <w:jc w:val="center"/>
                    <w:rPr>
                      <w:color w:val="auto"/>
                    </w:rPr>
                  </w:pPr>
                  <w:r>
                    <w:rPr>
                      <w:color w:val="auto"/>
                    </w:rPr>
                    <w:t>CO</w:t>
                  </w:r>
                </w:p>
              </w:tc>
              <w:tc>
                <w:tcPr>
                  <w:tcW w:w="603" w:type="pct"/>
                  <w:vAlign w:val="center"/>
                </w:tcPr>
                <w:p w14:paraId="6DCF96A2">
                  <w:pPr>
                    <w:pStyle w:val="16"/>
                    <w:jc w:val="center"/>
                    <w:rPr>
                      <w:color w:val="auto"/>
                    </w:rPr>
                  </w:pPr>
                  <w:r>
                    <w:rPr>
                      <w:color w:val="auto"/>
                    </w:rPr>
                    <w:t>O</w:t>
                  </w:r>
                  <w:r>
                    <w:rPr>
                      <w:color w:val="auto"/>
                      <w:vertAlign w:val="subscript"/>
                    </w:rPr>
                    <w:t>3</w:t>
                  </w:r>
                </w:p>
              </w:tc>
              <w:tc>
                <w:tcPr>
                  <w:tcW w:w="683" w:type="pct"/>
                  <w:vAlign w:val="center"/>
                </w:tcPr>
                <w:p w14:paraId="4FD2A655">
                  <w:pPr>
                    <w:pStyle w:val="16"/>
                    <w:jc w:val="center"/>
                    <w:rPr>
                      <w:color w:val="auto"/>
                    </w:rPr>
                  </w:pPr>
                  <w:r>
                    <w:rPr>
                      <w:color w:val="auto"/>
                    </w:rPr>
                    <w:t>PM</w:t>
                  </w:r>
                  <w:r>
                    <w:rPr>
                      <w:color w:val="auto"/>
                      <w:vertAlign w:val="subscript"/>
                    </w:rPr>
                    <w:t>10</w:t>
                  </w:r>
                </w:p>
              </w:tc>
              <w:tc>
                <w:tcPr>
                  <w:tcW w:w="613" w:type="pct"/>
                  <w:vAlign w:val="center"/>
                </w:tcPr>
                <w:p w14:paraId="5F43F0DB">
                  <w:pPr>
                    <w:pStyle w:val="16"/>
                    <w:jc w:val="center"/>
                    <w:rPr>
                      <w:color w:val="auto"/>
                    </w:rPr>
                  </w:pPr>
                  <w:r>
                    <w:rPr>
                      <w:color w:val="auto"/>
                    </w:rPr>
                    <w:t>PM</w:t>
                  </w:r>
                  <w:r>
                    <w:rPr>
                      <w:color w:val="auto"/>
                      <w:vertAlign w:val="subscript"/>
                    </w:rPr>
                    <w:t>2.5</w:t>
                  </w:r>
                </w:p>
              </w:tc>
              <w:tc>
                <w:tcPr>
                  <w:tcW w:w="683" w:type="pct"/>
                  <w:vAlign w:val="center"/>
                </w:tcPr>
                <w:p w14:paraId="4C7BE390">
                  <w:pPr>
                    <w:pStyle w:val="16"/>
                    <w:jc w:val="center"/>
                    <w:rPr>
                      <w:color w:val="auto"/>
                    </w:rPr>
                  </w:pPr>
                  <w:r>
                    <w:rPr>
                      <w:color w:val="auto"/>
                    </w:rPr>
                    <w:t>TSP</w:t>
                  </w:r>
                </w:p>
              </w:tc>
            </w:tr>
            <w:tr w14:paraId="2A800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vAlign w:val="center"/>
                </w:tcPr>
                <w:p w14:paraId="7723340A">
                  <w:pPr>
                    <w:pStyle w:val="16"/>
                    <w:jc w:val="center"/>
                    <w:rPr>
                      <w:color w:val="auto"/>
                    </w:rPr>
                  </w:pPr>
                  <w:r>
                    <w:rPr>
                      <w:color w:val="auto"/>
                    </w:rPr>
                    <w:t>年平均质量浓度</w:t>
                  </w:r>
                </w:p>
              </w:tc>
              <w:tc>
                <w:tcPr>
                  <w:tcW w:w="506" w:type="pct"/>
                  <w:vAlign w:val="center"/>
                </w:tcPr>
                <w:p w14:paraId="1C905AB2">
                  <w:pPr>
                    <w:pStyle w:val="16"/>
                    <w:jc w:val="center"/>
                    <w:rPr>
                      <w:color w:val="auto"/>
                    </w:rPr>
                  </w:pPr>
                  <w:r>
                    <w:rPr>
                      <w:color w:val="auto"/>
                    </w:rPr>
                    <w:t>60</w:t>
                  </w:r>
                </w:p>
              </w:tc>
              <w:tc>
                <w:tcPr>
                  <w:tcW w:w="594" w:type="pct"/>
                  <w:vAlign w:val="center"/>
                </w:tcPr>
                <w:p w14:paraId="68F42A44">
                  <w:pPr>
                    <w:pStyle w:val="16"/>
                    <w:jc w:val="center"/>
                    <w:rPr>
                      <w:color w:val="auto"/>
                    </w:rPr>
                  </w:pPr>
                  <w:r>
                    <w:rPr>
                      <w:color w:val="auto"/>
                    </w:rPr>
                    <w:t>40</w:t>
                  </w:r>
                </w:p>
              </w:tc>
              <w:tc>
                <w:tcPr>
                  <w:tcW w:w="624" w:type="pct"/>
                  <w:vAlign w:val="center"/>
                </w:tcPr>
                <w:p w14:paraId="7A06571B">
                  <w:pPr>
                    <w:pStyle w:val="16"/>
                    <w:jc w:val="center"/>
                    <w:rPr>
                      <w:color w:val="auto"/>
                    </w:rPr>
                  </w:pPr>
                  <w:r>
                    <w:rPr>
                      <w:color w:val="auto"/>
                    </w:rPr>
                    <w:t>/</w:t>
                  </w:r>
                </w:p>
              </w:tc>
              <w:tc>
                <w:tcPr>
                  <w:tcW w:w="603" w:type="pct"/>
                  <w:vAlign w:val="center"/>
                </w:tcPr>
                <w:p w14:paraId="60488FEE">
                  <w:pPr>
                    <w:pStyle w:val="16"/>
                    <w:jc w:val="center"/>
                    <w:rPr>
                      <w:color w:val="auto"/>
                    </w:rPr>
                  </w:pPr>
                  <w:r>
                    <w:rPr>
                      <w:color w:val="auto"/>
                    </w:rPr>
                    <w:t>/</w:t>
                  </w:r>
                </w:p>
              </w:tc>
              <w:tc>
                <w:tcPr>
                  <w:tcW w:w="683" w:type="pct"/>
                  <w:vAlign w:val="center"/>
                </w:tcPr>
                <w:p w14:paraId="5AC697AB">
                  <w:pPr>
                    <w:pStyle w:val="16"/>
                    <w:jc w:val="center"/>
                    <w:rPr>
                      <w:color w:val="auto"/>
                    </w:rPr>
                  </w:pPr>
                  <w:r>
                    <w:rPr>
                      <w:rFonts w:hint="eastAsia"/>
                      <w:color w:val="auto"/>
                    </w:rPr>
                    <w:t>60</w:t>
                  </w:r>
                </w:p>
              </w:tc>
              <w:tc>
                <w:tcPr>
                  <w:tcW w:w="613" w:type="pct"/>
                  <w:vAlign w:val="center"/>
                </w:tcPr>
                <w:p w14:paraId="0FB55EC7">
                  <w:pPr>
                    <w:pStyle w:val="16"/>
                    <w:jc w:val="center"/>
                    <w:rPr>
                      <w:color w:val="auto"/>
                    </w:rPr>
                  </w:pPr>
                  <w:r>
                    <w:rPr>
                      <w:color w:val="auto"/>
                    </w:rPr>
                    <w:t>3</w:t>
                  </w:r>
                  <w:r>
                    <w:rPr>
                      <w:rFonts w:hint="eastAsia"/>
                      <w:color w:val="auto"/>
                    </w:rPr>
                    <w:t>0</w:t>
                  </w:r>
                </w:p>
              </w:tc>
              <w:tc>
                <w:tcPr>
                  <w:tcW w:w="683" w:type="pct"/>
                  <w:vAlign w:val="center"/>
                </w:tcPr>
                <w:p w14:paraId="3C01C219">
                  <w:pPr>
                    <w:pStyle w:val="16"/>
                    <w:jc w:val="center"/>
                    <w:rPr>
                      <w:color w:val="auto"/>
                    </w:rPr>
                  </w:pPr>
                  <w:r>
                    <w:rPr>
                      <w:color w:val="auto"/>
                    </w:rPr>
                    <w:t>200</w:t>
                  </w:r>
                </w:p>
              </w:tc>
            </w:tr>
            <w:tr w14:paraId="49829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vAlign w:val="center"/>
                </w:tcPr>
                <w:p w14:paraId="0DE71EF8">
                  <w:pPr>
                    <w:pStyle w:val="16"/>
                    <w:jc w:val="center"/>
                    <w:rPr>
                      <w:color w:val="auto"/>
                    </w:rPr>
                  </w:pPr>
                  <w:r>
                    <w:rPr>
                      <w:color w:val="auto"/>
                    </w:rPr>
                    <w:t>24h平均质量浓度</w:t>
                  </w:r>
                </w:p>
              </w:tc>
              <w:tc>
                <w:tcPr>
                  <w:tcW w:w="506" w:type="pct"/>
                  <w:vAlign w:val="center"/>
                </w:tcPr>
                <w:p w14:paraId="769BDADF">
                  <w:pPr>
                    <w:pStyle w:val="16"/>
                    <w:jc w:val="center"/>
                    <w:rPr>
                      <w:color w:val="auto"/>
                    </w:rPr>
                  </w:pPr>
                  <w:r>
                    <w:rPr>
                      <w:color w:val="auto"/>
                    </w:rPr>
                    <w:t>150</w:t>
                  </w:r>
                </w:p>
              </w:tc>
              <w:tc>
                <w:tcPr>
                  <w:tcW w:w="594" w:type="pct"/>
                  <w:vAlign w:val="center"/>
                </w:tcPr>
                <w:p w14:paraId="5428817D">
                  <w:pPr>
                    <w:pStyle w:val="16"/>
                    <w:jc w:val="center"/>
                    <w:rPr>
                      <w:color w:val="auto"/>
                    </w:rPr>
                  </w:pPr>
                  <w:r>
                    <w:rPr>
                      <w:color w:val="auto"/>
                    </w:rPr>
                    <w:t>80</w:t>
                  </w:r>
                </w:p>
              </w:tc>
              <w:tc>
                <w:tcPr>
                  <w:tcW w:w="624" w:type="pct"/>
                  <w:vAlign w:val="center"/>
                </w:tcPr>
                <w:p w14:paraId="30FC8894">
                  <w:pPr>
                    <w:pStyle w:val="16"/>
                    <w:jc w:val="center"/>
                    <w:rPr>
                      <w:color w:val="auto"/>
                    </w:rPr>
                  </w:pPr>
                  <w:r>
                    <w:rPr>
                      <w:color w:val="auto"/>
                    </w:rPr>
                    <w:t>4mg/m</w:t>
                  </w:r>
                  <w:r>
                    <w:rPr>
                      <w:color w:val="auto"/>
                      <w:vertAlign w:val="superscript"/>
                    </w:rPr>
                    <w:t>3</w:t>
                  </w:r>
                </w:p>
              </w:tc>
              <w:tc>
                <w:tcPr>
                  <w:tcW w:w="603" w:type="pct"/>
                  <w:vAlign w:val="center"/>
                </w:tcPr>
                <w:p w14:paraId="63106C62">
                  <w:pPr>
                    <w:pStyle w:val="16"/>
                    <w:jc w:val="center"/>
                    <w:rPr>
                      <w:color w:val="auto"/>
                    </w:rPr>
                  </w:pPr>
                  <w:r>
                    <w:rPr>
                      <w:color w:val="auto"/>
                    </w:rPr>
                    <w:t>160</w:t>
                  </w:r>
                </w:p>
              </w:tc>
              <w:tc>
                <w:tcPr>
                  <w:tcW w:w="683" w:type="pct"/>
                  <w:vAlign w:val="center"/>
                </w:tcPr>
                <w:p w14:paraId="081AC48C">
                  <w:pPr>
                    <w:pStyle w:val="16"/>
                    <w:jc w:val="center"/>
                    <w:rPr>
                      <w:color w:val="auto"/>
                    </w:rPr>
                  </w:pPr>
                  <w:r>
                    <w:rPr>
                      <w:rFonts w:hint="eastAsia"/>
                      <w:color w:val="auto"/>
                    </w:rPr>
                    <w:t>120</w:t>
                  </w:r>
                </w:p>
              </w:tc>
              <w:tc>
                <w:tcPr>
                  <w:tcW w:w="613" w:type="pct"/>
                  <w:vAlign w:val="center"/>
                </w:tcPr>
                <w:p w14:paraId="05F2D347">
                  <w:pPr>
                    <w:pStyle w:val="16"/>
                    <w:jc w:val="center"/>
                    <w:rPr>
                      <w:color w:val="auto"/>
                    </w:rPr>
                  </w:pPr>
                  <w:r>
                    <w:rPr>
                      <w:rFonts w:hint="eastAsia"/>
                      <w:color w:val="auto"/>
                    </w:rPr>
                    <w:t>60</w:t>
                  </w:r>
                </w:p>
              </w:tc>
              <w:tc>
                <w:tcPr>
                  <w:tcW w:w="683" w:type="pct"/>
                  <w:vAlign w:val="center"/>
                </w:tcPr>
                <w:p w14:paraId="4FA008E8">
                  <w:pPr>
                    <w:pStyle w:val="16"/>
                    <w:jc w:val="center"/>
                    <w:rPr>
                      <w:color w:val="auto"/>
                    </w:rPr>
                  </w:pPr>
                  <w:r>
                    <w:rPr>
                      <w:color w:val="auto"/>
                    </w:rPr>
                    <w:t>300</w:t>
                  </w:r>
                </w:p>
              </w:tc>
            </w:tr>
            <w:tr w14:paraId="6E117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pct"/>
                  <w:vAlign w:val="center"/>
                </w:tcPr>
                <w:p w14:paraId="32B5DE86">
                  <w:pPr>
                    <w:pStyle w:val="16"/>
                    <w:jc w:val="center"/>
                    <w:rPr>
                      <w:color w:val="auto"/>
                    </w:rPr>
                  </w:pPr>
                  <w:r>
                    <w:rPr>
                      <w:color w:val="auto"/>
                    </w:rPr>
                    <w:t>1h平均质量浓度</w:t>
                  </w:r>
                </w:p>
              </w:tc>
              <w:tc>
                <w:tcPr>
                  <w:tcW w:w="506" w:type="pct"/>
                  <w:vAlign w:val="center"/>
                </w:tcPr>
                <w:p w14:paraId="062697BF">
                  <w:pPr>
                    <w:pStyle w:val="16"/>
                    <w:jc w:val="center"/>
                    <w:rPr>
                      <w:color w:val="auto"/>
                    </w:rPr>
                  </w:pPr>
                  <w:r>
                    <w:rPr>
                      <w:color w:val="auto"/>
                    </w:rPr>
                    <w:t>500</w:t>
                  </w:r>
                </w:p>
              </w:tc>
              <w:tc>
                <w:tcPr>
                  <w:tcW w:w="594" w:type="pct"/>
                  <w:vAlign w:val="center"/>
                </w:tcPr>
                <w:p w14:paraId="11981E6E">
                  <w:pPr>
                    <w:pStyle w:val="16"/>
                    <w:jc w:val="center"/>
                    <w:rPr>
                      <w:color w:val="auto"/>
                    </w:rPr>
                  </w:pPr>
                  <w:r>
                    <w:rPr>
                      <w:color w:val="auto"/>
                    </w:rPr>
                    <w:t>200</w:t>
                  </w:r>
                </w:p>
              </w:tc>
              <w:tc>
                <w:tcPr>
                  <w:tcW w:w="624" w:type="pct"/>
                  <w:vAlign w:val="center"/>
                </w:tcPr>
                <w:p w14:paraId="13D4239A">
                  <w:pPr>
                    <w:pStyle w:val="16"/>
                    <w:jc w:val="center"/>
                    <w:rPr>
                      <w:color w:val="auto"/>
                    </w:rPr>
                  </w:pPr>
                  <w:r>
                    <w:rPr>
                      <w:color w:val="auto"/>
                    </w:rPr>
                    <w:t>10mg/m</w:t>
                  </w:r>
                  <w:r>
                    <w:rPr>
                      <w:color w:val="auto"/>
                      <w:vertAlign w:val="superscript"/>
                    </w:rPr>
                    <w:t>3</w:t>
                  </w:r>
                </w:p>
              </w:tc>
              <w:tc>
                <w:tcPr>
                  <w:tcW w:w="603" w:type="pct"/>
                  <w:vAlign w:val="center"/>
                </w:tcPr>
                <w:p w14:paraId="4C6682EB">
                  <w:pPr>
                    <w:pStyle w:val="16"/>
                    <w:jc w:val="center"/>
                    <w:rPr>
                      <w:color w:val="auto"/>
                    </w:rPr>
                  </w:pPr>
                  <w:r>
                    <w:rPr>
                      <w:color w:val="auto"/>
                    </w:rPr>
                    <w:t>200</w:t>
                  </w:r>
                </w:p>
              </w:tc>
              <w:tc>
                <w:tcPr>
                  <w:tcW w:w="683" w:type="pct"/>
                  <w:vAlign w:val="center"/>
                </w:tcPr>
                <w:p w14:paraId="13B93F26">
                  <w:pPr>
                    <w:pStyle w:val="16"/>
                    <w:jc w:val="center"/>
                    <w:rPr>
                      <w:color w:val="auto"/>
                    </w:rPr>
                  </w:pPr>
                  <w:r>
                    <w:rPr>
                      <w:color w:val="auto"/>
                    </w:rPr>
                    <w:t>/</w:t>
                  </w:r>
                </w:p>
              </w:tc>
              <w:tc>
                <w:tcPr>
                  <w:tcW w:w="613" w:type="pct"/>
                  <w:vAlign w:val="center"/>
                </w:tcPr>
                <w:p w14:paraId="44B85D1C">
                  <w:pPr>
                    <w:pStyle w:val="16"/>
                    <w:jc w:val="center"/>
                    <w:rPr>
                      <w:color w:val="auto"/>
                    </w:rPr>
                  </w:pPr>
                  <w:r>
                    <w:rPr>
                      <w:color w:val="auto"/>
                    </w:rPr>
                    <w:t>/</w:t>
                  </w:r>
                </w:p>
              </w:tc>
              <w:tc>
                <w:tcPr>
                  <w:tcW w:w="683" w:type="pct"/>
                  <w:vAlign w:val="center"/>
                </w:tcPr>
                <w:p w14:paraId="6FD8DFDF">
                  <w:pPr>
                    <w:pStyle w:val="16"/>
                    <w:jc w:val="center"/>
                    <w:rPr>
                      <w:color w:val="auto"/>
                    </w:rPr>
                  </w:pPr>
                  <w:r>
                    <w:rPr>
                      <w:color w:val="auto"/>
                    </w:rPr>
                    <w:t>/</w:t>
                  </w:r>
                </w:p>
              </w:tc>
            </w:tr>
          </w:tbl>
          <w:p w14:paraId="2E75FD74">
            <w:pPr>
              <w:ind w:firstLine="0" w:firstLineChars="0"/>
              <w:rPr>
                <w:rFonts w:eastAsia="黑体"/>
                <w:color w:val="auto"/>
                <w:sz w:val="21"/>
                <w:szCs w:val="21"/>
              </w:rPr>
            </w:pPr>
            <w:r>
              <w:rPr>
                <w:rFonts w:eastAsia="黑体"/>
                <w:color w:val="auto"/>
                <w:sz w:val="21"/>
                <w:szCs w:val="21"/>
              </w:rPr>
              <w:t>注*：O</w:t>
            </w:r>
            <w:r>
              <w:rPr>
                <w:rFonts w:eastAsia="黑体"/>
                <w:color w:val="auto"/>
                <w:sz w:val="21"/>
                <w:szCs w:val="21"/>
                <w:vertAlign w:val="subscript"/>
              </w:rPr>
              <w:t>3</w:t>
            </w:r>
            <w:r>
              <w:rPr>
                <w:rFonts w:eastAsia="黑体"/>
                <w:color w:val="auto"/>
                <w:sz w:val="21"/>
                <w:szCs w:val="21"/>
              </w:rPr>
              <w:t>24h平均质量浓度为日最大8小时平均质量浓度。</w:t>
            </w:r>
          </w:p>
          <w:p w14:paraId="7F890A00">
            <w:pPr>
              <w:pStyle w:val="4"/>
              <w:ind w:firstLine="482"/>
              <w:rPr>
                <w:color w:val="auto"/>
              </w:rPr>
            </w:pPr>
            <w:r>
              <w:rPr>
                <w:color w:val="auto"/>
              </w:rPr>
              <w:t>2、地表水</w:t>
            </w:r>
          </w:p>
          <w:p w14:paraId="4751B16A">
            <w:pPr>
              <w:ind w:firstLine="480"/>
              <w:rPr>
                <w:color w:val="auto"/>
              </w:rPr>
            </w:pPr>
            <w:r>
              <w:rPr>
                <w:color w:val="auto"/>
              </w:rPr>
              <w:t>根据《地表水环境质量标准》（GB3838-2002），本项目评价范围内地表水体主要为</w:t>
            </w:r>
            <w:r>
              <w:rPr>
                <w:rFonts w:hint="eastAsia"/>
                <w:color w:val="auto"/>
              </w:rPr>
              <w:t>通江河</w:t>
            </w:r>
            <w:r>
              <w:rPr>
                <w:color w:val="auto"/>
              </w:rPr>
              <w:t>，属</w:t>
            </w:r>
            <w:r>
              <w:rPr>
                <w:rFonts w:hint="eastAsia"/>
                <w:color w:val="auto"/>
              </w:rPr>
              <w:t>渠江</w:t>
            </w:r>
            <w:r>
              <w:rPr>
                <w:color w:val="auto"/>
              </w:rPr>
              <w:t>水系</w:t>
            </w:r>
            <w:r>
              <w:rPr>
                <w:rFonts w:hint="eastAsia"/>
                <w:color w:val="auto"/>
              </w:rPr>
              <w:t>，</w:t>
            </w:r>
            <w:r>
              <w:rPr>
                <w:color w:val="auto"/>
              </w:rPr>
              <w:t>执行《地表水环境质量标准》（GB3838-2002）中Ⅲ类水域标准</w:t>
            </w:r>
            <w:r>
              <w:rPr>
                <w:rFonts w:hint="eastAsia"/>
                <w:color w:val="auto"/>
              </w:rPr>
              <w:t>；项目涉及的流里河水库、澌溪沟水库、王家河水库执行《地表水环境质量标准》（</w:t>
            </w:r>
            <w:r>
              <w:rPr>
                <w:color w:val="auto"/>
              </w:rPr>
              <w:t>GB3838-2002</w:t>
            </w:r>
            <w:r>
              <w:rPr>
                <w:rFonts w:hint="eastAsia"/>
                <w:color w:val="auto"/>
              </w:rPr>
              <w:t>）中</w:t>
            </w:r>
            <w:r>
              <w:rPr>
                <w:color w:val="auto"/>
              </w:rPr>
              <w:fldChar w:fldCharType="begin"/>
            </w:r>
            <w:r>
              <w:rPr>
                <w:color w:val="auto"/>
              </w:rPr>
              <w:instrText xml:space="preserve"> = 2 \* ROMAN </w:instrText>
            </w:r>
            <w:r>
              <w:rPr>
                <w:color w:val="auto"/>
              </w:rPr>
              <w:fldChar w:fldCharType="separate"/>
            </w:r>
            <w:r>
              <w:rPr>
                <w:color w:val="auto"/>
              </w:rPr>
              <w:t>II</w:t>
            </w:r>
            <w:r>
              <w:rPr>
                <w:color w:val="auto"/>
              </w:rPr>
              <w:fldChar w:fldCharType="end"/>
            </w:r>
            <w:r>
              <w:rPr>
                <w:rFonts w:hint="eastAsia"/>
                <w:color w:val="auto"/>
              </w:rPr>
              <w:t>类水域标准</w:t>
            </w:r>
            <w:r>
              <w:rPr>
                <w:color w:val="auto"/>
              </w:rPr>
              <w:t>。主要标准值见表3-</w:t>
            </w:r>
            <w:r>
              <w:rPr>
                <w:rFonts w:hint="eastAsia"/>
                <w:color w:val="auto"/>
              </w:rPr>
              <w:t>9</w:t>
            </w:r>
            <w:r>
              <w:rPr>
                <w:color w:val="auto"/>
              </w:rPr>
              <w:t>。</w:t>
            </w:r>
          </w:p>
          <w:p w14:paraId="240FFC76">
            <w:pPr>
              <w:pStyle w:val="17"/>
              <w:rPr>
                <w:rFonts w:hint="default"/>
                <w:color w:val="auto"/>
              </w:rPr>
            </w:pPr>
            <w:r>
              <w:rPr>
                <w:rFonts w:hint="default"/>
                <w:color w:val="auto"/>
              </w:rPr>
              <w:t>表3-</w:t>
            </w:r>
            <w:r>
              <w:rPr>
                <w:color w:val="auto"/>
              </w:rPr>
              <w:t>9</w:t>
            </w:r>
            <w:r>
              <w:rPr>
                <w:rFonts w:hint="default"/>
                <w:color w:val="auto"/>
              </w:rPr>
              <w:t>《地表水环境质量标准》（GB3838-2002）单位：mg/L</w:t>
            </w:r>
          </w:p>
          <w:tbl>
            <w:tblPr>
              <w:tblStyle w:val="12"/>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5"/>
              <w:gridCol w:w="1211"/>
              <w:gridCol w:w="1211"/>
              <w:gridCol w:w="1210"/>
              <w:gridCol w:w="1271"/>
              <w:gridCol w:w="1322"/>
            </w:tblGrid>
            <w:tr w14:paraId="411B3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259" w:type="pct"/>
                  <w:vAlign w:val="center"/>
                </w:tcPr>
                <w:p w14:paraId="14550340">
                  <w:pPr>
                    <w:pStyle w:val="16"/>
                    <w:jc w:val="center"/>
                    <w:rPr>
                      <w:color w:val="auto"/>
                    </w:rPr>
                  </w:pPr>
                  <w:r>
                    <w:rPr>
                      <w:color w:val="auto"/>
                    </w:rPr>
                    <w:t>污染物</w:t>
                  </w:r>
                </w:p>
              </w:tc>
              <w:tc>
                <w:tcPr>
                  <w:tcW w:w="728" w:type="pct"/>
                  <w:vAlign w:val="center"/>
                </w:tcPr>
                <w:p w14:paraId="1C6A7390">
                  <w:pPr>
                    <w:pStyle w:val="16"/>
                    <w:jc w:val="center"/>
                    <w:rPr>
                      <w:color w:val="auto"/>
                    </w:rPr>
                  </w:pPr>
                  <w:r>
                    <w:rPr>
                      <w:color w:val="auto"/>
                    </w:rPr>
                    <w:t>pH</w:t>
                  </w:r>
                </w:p>
              </w:tc>
              <w:tc>
                <w:tcPr>
                  <w:tcW w:w="728" w:type="pct"/>
                  <w:vAlign w:val="center"/>
                </w:tcPr>
                <w:p w14:paraId="3AE00F77">
                  <w:pPr>
                    <w:pStyle w:val="16"/>
                    <w:jc w:val="center"/>
                    <w:rPr>
                      <w:color w:val="auto"/>
                    </w:rPr>
                  </w:pPr>
                  <w:r>
                    <w:rPr>
                      <w:color w:val="auto"/>
                    </w:rPr>
                    <w:t>COD</w:t>
                  </w:r>
                </w:p>
              </w:tc>
              <w:tc>
                <w:tcPr>
                  <w:tcW w:w="727" w:type="pct"/>
                  <w:vAlign w:val="center"/>
                </w:tcPr>
                <w:p w14:paraId="40BE0BE4">
                  <w:pPr>
                    <w:pStyle w:val="16"/>
                    <w:jc w:val="center"/>
                    <w:rPr>
                      <w:color w:val="auto"/>
                    </w:rPr>
                  </w:pPr>
                  <w:r>
                    <w:rPr>
                      <w:color w:val="auto"/>
                    </w:rPr>
                    <w:t>BOD</w:t>
                  </w:r>
                  <w:r>
                    <w:rPr>
                      <w:color w:val="auto"/>
                      <w:vertAlign w:val="subscript"/>
                    </w:rPr>
                    <w:t>5</w:t>
                  </w:r>
                </w:p>
              </w:tc>
              <w:tc>
                <w:tcPr>
                  <w:tcW w:w="764" w:type="pct"/>
                  <w:vAlign w:val="center"/>
                </w:tcPr>
                <w:p w14:paraId="55DB047E">
                  <w:pPr>
                    <w:pStyle w:val="16"/>
                    <w:jc w:val="center"/>
                    <w:rPr>
                      <w:color w:val="auto"/>
                    </w:rPr>
                  </w:pPr>
                  <w:r>
                    <w:rPr>
                      <w:color w:val="auto"/>
                    </w:rPr>
                    <w:t>NH</w:t>
                  </w:r>
                  <w:r>
                    <w:rPr>
                      <w:color w:val="auto"/>
                      <w:vertAlign w:val="subscript"/>
                    </w:rPr>
                    <w:t>3</w:t>
                  </w:r>
                  <w:r>
                    <w:rPr>
                      <w:color w:val="auto"/>
                    </w:rPr>
                    <w:t>-N</w:t>
                  </w:r>
                </w:p>
              </w:tc>
              <w:tc>
                <w:tcPr>
                  <w:tcW w:w="794" w:type="pct"/>
                  <w:vAlign w:val="center"/>
                </w:tcPr>
                <w:p w14:paraId="4E48275F">
                  <w:pPr>
                    <w:pStyle w:val="16"/>
                    <w:jc w:val="center"/>
                    <w:rPr>
                      <w:color w:val="auto"/>
                    </w:rPr>
                  </w:pPr>
                  <w:r>
                    <w:rPr>
                      <w:color w:val="auto"/>
                    </w:rPr>
                    <w:t>石油类</w:t>
                  </w:r>
                </w:p>
              </w:tc>
            </w:tr>
            <w:tr w14:paraId="2D93C0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9" w:type="pct"/>
                  <w:vAlign w:val="center"/>
                </w:tcPr>
                <w:p w14:paraId="4C8A582C">
                  <w:pPr>
                    <w:pStyle w:val="16"/>
                    <w:jc w:val="center"/>
                    <w:rPr>
                      <w:color w:val="auto"/>
                    </w:rPr>
                  </w:pPr>
                  <w:r>
                    <w:rPr>
                      <w:color w:val="auto"/>
                    </w:rPr>
                    <w:fldChar w:fldCharType="begin"/>
                  </w:r>
                  <w:r>
                    <w:rPr>
                      <w:color w:val="auto"/>
                    </w:rPr>
                    <w:instrText xml:space="preserve"> </w:instrText>
                  </w:r>
                  <w:r>
                    <w:rPr>
                      <w:rFonts w:hint="eastAsia"/>
                      <w:color w:val="auto"/>
                    </w:rPr>
                    <w:instrText xml:space="preserve">= 2 \* ROMAN</w:instrText>
                  </w:r>
                  <w:r>
                    <w:rPr>
                      <w:color w:val="auto"/>
                    </w:rPr>
                    <w:instrText xml:space="preserve"> </w:instrText>
                  </w:r>
                  <w:r>
                    <w:rPr>
                      <w:color w:val="auto"/>
                    </w:rPr>
                    <w:fldChar w:fldCharType="separate"/>
                  </w:r>
                  <w:r>
                    <w:rPr>
                      <w:color w:val="auto"/>
                    </w:rPr>
                    <w:t>II</w:t>
                  </w:r>
                  <w:r>
                    <w:rPr>
                      <w:color w:val="auto"/>
                    </w:rPr>
                    <w:fldChar w:fldCharType="end"/>
                  </w:r>
                  <w:r>
                    <w:rPr>
                      <w:color w:val="auto"/>
                    </w:rPr>
                    <w:t>类标准</w:t>
                  </w:r>
                </w:p>
              </w:tc>
              <w:tc>
                <w:tcPr>
                  <w:tcW w:w="728" w:type="pct"/>
                  <w:vAlign w:val="center"/>
                </w:tcPr>
                <w:p w14:paraId="72655B5C">
                  <w:pPr>
                    <w:pStyle w:val="16"/>
                    <w:jc w:val="center"/>
                    <w:rPr>
                      <w:color w:val="auto"/>
                    </w:rPr>
                  </w:pPr>
                  <w:r>
                    <w:rPr>
                      <w:color w:val="auto"/>
                    </w:rPr>
                    <w:t>6-9</w:t>
                  </w:r>
                </w:p>
              </w:tc>
              <w:tc>
                <w:tcPr>
                  <w:tcW w:w="728" w:type="pct"/>
                  <w:vAlign w:val="center"/>
                </w:tcPr>
                <w:p w14:paraId="356ECE49">
                  <w:pPr>
                    <w:pStyle w:val="16"/>
                    <w:jc w:val="center"/>
                    <w:rPr>
                      <w:color w:val="auto"/>
                    </w:rPr>
                  </w:pPr>
                  <w:r>
                    <w:rPr>
                      <w:color w:val="auto"/>
                    </w:rPr>
                    <w:t>≤</w:t>
                  </w:r>
                  <w:r>
                    <w:rPr>
                      <w:rFonts w:hint="eastAsia"/>
                      <w:color w:val="auto"/>
                    </w:rPr>
                    <w:t>15</w:t>
                  </w:r>
                </w:p>
              </w:tc>
              <w:tc>
                <w:tcPr>
                  <w:tcW w:w="727" w:type="pct"/>
                  <w:vAlign w:val="center"/>
                </w:tcPr>
                <w:p w14:paraId="76EC95B7">
                  <w:pPr>
                    <w:pStyle w:val="16"/>
                    <w:jc w:val="center"/>
                    <w:rPr>
                      <w:color w:val="auto"/>
                    </w:rPr>
                  </w:pPr>
                  <w:r>
                    <w:rPr>
                      <w:color w:val="auto"/>
                    </w:rPr>
                    <w:t>≤</w:t>
                  </w:r>
                  <w:r>
                    <w:rPr>
                      <w:rFonts w:hint="eastAsia"/>
                      <w:color w:val="auto"/>
                    </w:rPr>
                    <w:t>3</w:t>
                  </w:r>
                </w:p>
              </w:tc>
              <w:tc>
                <w:tcPr>
                  <w:tcW w:w="764" w:type="pct"/>
                  <w:vAlign w:val="center"/>
                </w:tcPr>
                <w:p w14:paraId="6D388D75">
                  <w:pPr>
                    <w:pStyle w:val="16"/>
                    <w:jc w:val="center"/>
                    <w:rPr>
                      <w:color w:val="auto"/>
                    </w:rPr>
                  </w:pPr>
                  <w:r>
                    <w:rPr>
                      <w:color w:val="auto"/>
                    </w:rPr>
                    <w:t>≤</w:t>
                  </w:r>
                  <w:r>
                    <w:rPr>
                      <w:rFonts w:hint="eastAsia"/>
                      <w:color w:val="auto"/>
                    </w:rPr>
                    <w:t>0.5</w:t>
                  </w:r>
                </w:p>
              </w:tc>
              <w:tc>
                <w:tcPr>
                  <w:tcW w:w="794" w:type="pct"/>
                  <w:vAlign w:val="center"/>
                </w:tcPr>
                <w:p w14:paraId="2D97A4A3">
                  <w:pPr>
                    <w:pStyle w:val="16"/>
                    <w:jc w:val="center"/>
                    <w:rPr>
                      <w:color w:val="auto"/>
                    </w:rPr>
                  </w:pPr>
                  <w:r>
                    <w:rPr>
                      <w:color w:val="auto"/>
                    </w:rPr>
                    <w:t>≤0.05</w:t>
                  </w:r>
                </w:p>
              </w:tc>
            </w:tr>
            <w:tr w14:paraId="5E2910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9" w:type="pct"/>
                  <w:vAlign w:val="center"/>
                </w:tcPr>
                <w:p w14:paraId="7EF70BCA">
                  <w:pPr>
                    <w:pStyle w:val="16"/>
                    <w:jc w:val="center"/>
                    <w:rPr>
                      <w:color w:val="auto"/>
                    </w:rPr>
                  </w:pPr>
                  <w:r>
                    <w:rPr>
                      <w:color w:val="auto"/>
                    </w:rPr>
                    <w:t>Ⅲ类标准</w:t>
                  </w:r>
                </w:p>
              </w:tc>
              <w:tc>
                <w:tcPr>
                  <w:tcW w:w="728" w:type="pct"/>
                  <w:vAlign w:val="center"/>
                </w:tcPr>
                <w:p w14:paraId="668C4555">
                  <w:pPr>
                    <w:pStyle w:val="16"/>
                    <w:jc w:val="center"/>
                    <w:rPr>
                      <w:color w:val="auto"/>
                    </w:rPr>
                  </w:pPr>
                  <w:r>
                    <w:rPr>
                      <w:color w:val="auto"/>
                    </w:rPr>
                    <w:t>6-9</w:t>
                  </w:r>
                </w:p>
              </w:tc>
              <w:tc>
                <w:tcPr>
                  <w:tcW w:w="728" w:type="pct"/>
                  <w:vAlign w:val="center"/>
                </w:tcPr>
                <w:p w14:paraId="2E4CBEF2">
                  <w:pPr>
                    <w:pStyle w:val="16"/>
                    <w:jc w:val="center"/>
                    <w:rPr>
                      <w:color w:val="auto"/>
                    </w:rPr>
                  </w:pPr>
                  <w:r>
                    <w:rPr>
                      <w:color w:val="auto"/>
                    </w:rPr>
                    <w:t>≤20</w:t>
                  </w:r>
                </w:p>
              </w:tc>
              <w:tc>
                <w:tcPr>
                  <w:tcW w:w="727" w:type="pct"/>
                  <w:vAlign w:val="center"/>
                </w:tcPr>
                <w:p w14:paraId="5146276D">
                  <w:pPr>
                    <w:pStyle w:val="16"/>
                    <w:jc w:val="center"/>
                    <w:rPr>
                      <w:color w:val="auto"/>
                    </w:rPr>
                  </w:pPr>
                  <w:r>
                    <w:rPr>
                      <w:color w:val="auto"/>
                    </w:rPr>
                    <w:t>≤4</w:t>
                  </w:r>
                </w:p>
              </w:tc>
              <w:tc>
                <w:tcPr>
                  <w:tcW w:w="764" w:type="pct"/>
                  <w:vAlign w:val="center"/>
                </w:tcPr>
                <w:p w14:paraId="0B634E74">
                  <w:pPr>
                    <w:pStyle w:val="16"/>
                    <w:jc w:val="center"/>
                    <w:rPr>
                      <w:color w:val="auto"/>
                    </w:rPr>
                  </w:pPr>
                  <w:r>
                    <w:rPr>
                      <w:color w:val="auto"/>
                    </w:rPr>
                    <w:t>≤1.0</w:t>
                  </w:r>
                </w:p>
              </w:tc>
              <w:tc>
                <w:tcPr>
                  <w:tcW w:w="794" w:type="pct"/>
                  <w:vAlign w:val="center"/>
                </w:tcPr>
                <w:p w14:paraId="7BC5610C">
                  <w:pPr>
                    <w:pStyle w:val="16"/>
                    <w:jc w:val="center"/>
                    <w:rPr>
                      <w:color w:val="auto"/>
                    </w:rPr>
                  </w:pPr>
                  <w:r>
                    <w:rPr>
                      <w:color w:val="auto"/>
                    </w:rPr>
                    <w:t>≤0.05</w:t>
                  </w:r>
                </w:p>
              </w:tc>
            </w:tr>
          </w:tbl>
          <w:p w14:paraId="1853A749">
            <w:pPr>
              <w:ind w:firstLine="0" w:firstLineChars="0"/>
              <w:rPr>
                <w:color w:val="auto"/>
                <w:sz w:val="21"/>
                <w:szCs w:val="21"/>
              </w:rPr>
            </w:pPr>
            <w:r>
              <w:rPr>
                <w:rFonts w:hint="eastAsia"/>
                <w:color w:val="auto"/>
                <w:sz w:val="21"/>
                <w:szCs w:val="21"/>
              </w:rPr>
              <w:t>注：除</w:t>
            </w:r>
            <w:r>
              <w:rPr>
                <w:color w:val="auto"/>
                <w:sz w:val="21"/>
                <w:szCs w:val="21"/>
              </w:rPr>
              <w:t>pH</w:t>
            </w:r>
            <w:r>
              <w:rPr>
                <w:rFonts w:hint="eastAsia"/>
                <w:color w:val="auto"/>
                <w:sz w:val="21"/>
                <w:szCs w:val="21"/>
              </w:rPr>
              <w:t>外，其它污染浓度单位为</w:t>
            </w:r>
            <w:r>
              <w:rPr>
                <w:color w:val="auto"/>
                <w:sz w:val="21"/>
                <w:szCs w:val="21"/>
              </w:rPr>
              <w:t>mg/L</w:t>
            </w:r>
            <w:r>
              <w:rPr>
                <w:rFonts w:hint="eastAsia"/>
                <w:color w:val="auto"/>
                <w:sz w:val="21"/>
                <w:szCs w:val="21"/>
              </w:rPr>
              <w:t>。</w:t>
            </w:r>
          </w:p>
          <w:p w14:paraId="5C45475A">
            <w:pPr>
              <w:pStyle w:val="4"/>
              <w:ind w:firstLine="482"/>
              <w:rPr>
                <w:color w:val="auto"/>
              </w:rPr>
            </w:pPr>
            <w:r>
              <w:rPr>
                <w:color w:val="auto"/>
              </w:rPr>
              <w:t>3、声环境</w:t>
            </w:r>
          </w:p>
          <w:p w14:paraId="68CF2B7F">
            <w:pPr>
              <w:adjustRightInd w:val="0"/>
              <w:snapToGrid w:val="0"/>
              <w:ind w:firstLine="480"/>
              <w:rPr>
                <w:color w:val="auto"/>
              </w:rPr>
            </w:pPr>
            <w:r>
              <w:rPr>
                <w:rFonts w:hint="eastAsia"/>
                <w:color w:val="auto"/>
              </w:rPr>
              <w:t>本项目位于通江县铁佛镇内，声环境质量标准执行2类标准</w:t>
            </w:r>
            <w:r>
              <w:rPr>
                <w:color w:val="auto"/>
              </w:rPr>
              <w:t>；见下表。</w:t>
            </w:r>
          </w:p>
          <w:p w14:paraId="6EC4A53D">
            <w:pPr>
              <w:pStyle w:val="17"/>
              <w:rPr>
                <w:rFonts w:hint="default"/>
                <w:color w:val="auto"/>
              </w:rPr>
            </w:pPr>
            <w:r>
              <w:rPr>
                <w:rFonts w:hint="default"/>
                <w:color w:val="auto"/>
              </w:rPr>
              <w:t>表3-1</w:t>
            </w:r>
            <w:r>
              <w:rPr>
                <w:color w:val="auto"/>
              </w:rPr>
              <w:t>0</w:t>
            </w:r>
            <w:r>
              <w:rPr>
                <w:rFonts w:hint="default"/>
                <w:color w:val="auto"/>
              </w:rPr>
              <w:t>《声环境质量标准》（GB3096-2008）</w:t>
            </w:r>
          </w:p>
          <w:tbl>
            <w:tblPr>
              <w:tblStyle w:val="1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22"/>
              <w:gridCol w:w="2847"/>
              <w:gridCol w:w="2853"/>
            </w:tblGrid>
            <w:tr w14:paraId="47227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75" w:type="pct"/>
                  <w:vMerge w:val="restart"/>
                  <w:tcBorders>
                    <w:tl2br w:val="nil"/>
                    <w:tr2bl w:val="nil"/>
                  </w:tcBorders>
                  <w:vAlign w:val="center"/>
                </w:tcPr>
                <w:p w14:paraId="090409E7">
                  <w:pPr>
                    <w:pStyle w:val="16"/>
                    <w:jc w:val="center"/>
                    <w:rPr>
                      <w:color w:val="auto"/>
                    </w:rPr>
                  </w:pPr>
                  <w:r>
                    <w:rPr>
                      <w:color w:val="auto"/>
                    </w:rPr>
                    <w:t>标准类别</w:t>
                  </w:r>
                </w:p>
              </w:tc>
              <w:tc>
                <w:tcPr>
                  <w:tcW w:w="3424" w:type="pct"/>
                  <w:gridSpan w:val="2"/>
                  <w:tcBorders>
                    <w:tl2br w:val="nil"/>
                    <w:tr2bl w:val="nil"/>
                  </w:tcBorders>
                  <w:vAlign w:val="center"/>
                </w:tcPr>
                <w:p w14:paraId="7AFC9664">
                  <w:pPr>
                    <w:pStyle w:val="16"/>
                    <w:jc w:val="center"/>
                    <w:rPr>
                      <w:color w:val="auto"/>
                    </w:rPr>
                  </w:pPr>
                  <w:r>
                    <w:rPr>
                      <w:color w:val="auto"/>
                    </w:rPr>
                    <w:t>标准值（Leq：dB（A））</w:t>
                  </w:r>
                </w:p>
              </w:tc>
            </w:tr>
            <w:tr w14:paraId="1BE3F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575" w:type="pct"/>
                  <w:vMerge w:val="continue"/>
                  <w:tcBorders>
                    <w:tl2br w:val="nil"/>
                    <w:tr2bl w:val="nil"/>
                  </w:tcBorders>
                  <w:vAlign w:val="center"/>
                </w:tcPr>
                <w:p w14:paraId="0F8A3354">
                  <w:pPr>
                    <w:pStyle w:val="16"/>
                    <w:jc w:val="center"/>
                    <w:rPr>
                      <w:color w:val="auto"/>
                    </w:rPr>
                  </w:pPr>
                </w:p>
              </w:tc>
              <w:tc>
                <w:tcPr>
                  <w:tcW w:w="1710" w:type="pct"/>
                  <w:tcBorders>
                    <w:tl2br w:val="nil"/>
                    <w:tr2bl w:val="nil"/>
                  </w:tcBorders>
                  <w:vAlign w:val="center"/>
                </w:tcPr>
                <w:p w14:paraId="43DFD350">
                  <w:pPr>
                    <w:pStyle w:val="16"/>
                    <w:jc w:val="center"/>
                    <w:rPr>
                      <w:color w:val="auto"/>
                    </w:rPr>
                  </w:pPr>
                  <w:r>
                    <w:rPr>
                      <w:color w:val="auto"/>
                    </w:rPr>
                    <w:t>昼间</w:t>
                  </w:r>
                </w:p>
              </w:tc>
              <w:tc>
                <w:tcPr>
                  <w:tcW w:w="1713" w:type="pct"/>
                  <w:tcBorders>
                    <w:tl2br w:val="nil"/>
                    <w:tr2bl w:val="nil"/>
                  </w:tcBorders>
                  <w:vAlign w:val="center"/>
                </w:tcPr>
                <w:p w14:paraId="7CBA8DEF">
                  <w:pPr>
                    <w:pStyle w:val="16"/>
                    <w:jc w:val="center"/>
                    <w:rPr>
                      <w:color w:val="auto"/>
                    </w:rPr>
                  </w:pPr>
                  <w:r>
                    <w:rPr>
                      <w:color w:val="auto"/>
                    </w:rPr>
                    <w:t>夜间</w:t>
                  </w:r>
                </w:p>
              </w:tc>
            </w:tr>
            <w:tr w14:paraId="09F61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5" w:type="pct"/>
                  <w:tcBorders>
                    <w:tl2br w:val="nil"/>
                    <w:tr2bl w:val="nil"/>
                  </w:tcBorders>
                  <w:vAlign w:val="center"/>
                </w:tcPr>
                <w:p w14:paraId="146A76DA">
                  <w:pPr>
                    <w:pStyle w:val="16"/>
                    <w:jc w:val="center"/>
                    <w:rPr>
                      <w:color w:val="auto"/>
                    </w:rPr>
                  </w:pPr>
                  <w:r>
                    <w:rPr>
                      <w:rFonts w:hint="eastAsia"/>
                      <w:color w:val="auto"/>
                    </w:rPr>
                    <w:t>2</w:t>
                  </w:r>
                  <w:r>
                    <w:rPr>
                      <w:color w:val="auto"/>
                    </w:rPr>
                    <w:t>类</w:t>
                  </w:r>
                </w:p>
              </w:tc>
              <w:tc>
                <w:tcPr>
                  <w:tcW w:w="1710" w:type="pct"/>
                  <w:tcBorders>
                    <w:tl2br w:val="nil"/>
                    <w:tr2bl w:val="nil"/>
                  </w:tcBorders>
                  <w:vAlign w:val="center"/>
                </w:tcPr>
                <w:p w14:paraId="535E3481">
                  <w:pPr>
                    <w:pStyle w:val="16"/>
                    <w:jc w:val="center"/>
                    <w:rPr>
                      <w:color w:val="auto"/>
                    </w:rPr>
                  </w:pPr>
                  <w:r>
                    <w:rPr>
                      <w:rFonts w:hint="eastAsia"/>
                      <w:color w:val="auto"/>
                    </w:rPr>
                    <w:t>60</w:t>
                  </w:r>
                </w:p>
              </w:tc>
              <w:tc>
                <w:tcPr>
                  <w:tcW w:w="1713" w:type="pct"/>
                  <w:tcBorders>
                    <w:tl2br w:val="nil"/>
                    <w:tr2bl w:val="nil"/>
                  </w:tcBorders>
                  <w:vAlign w:val="center"/>
                </w:tcPr>
                <w:p w14:paraId="60111240">
                  <w:pPr>
                    <w:pStyle w:val="16"/>
                    <w:jc w:val="center"/>
                    <w:rPr>
                      <w:color w:val="auto"/>
                    </w:rPr>
                  </w:pPr>
                  <w:r>
                    <w:rPr>
                      <w:rFonts w:hint="eastAsia"/>
                      <w:color w:val="auto"/>
                    </w:rPr>
                    <w:t>50</w:t>
                  </w:r>
                </w:p>
              </w:tc>
            </w:tr>
          </w:tbl>
          <w:p w14:paraId="5DB85FD1">
            <w:pPr>
              <w:pStyle w:val="4"/>
              <w:ind w:firstLine="482"/>
              <w:rPr>
                <w:color w:val="auto"/>
              </w:rPr>
            </w:pPr>
          </w:p>
          <w:p w14:paraId="40B0A4DC">
            <w:pPr>
              <w:pStyle w:val="4"/>
              <w:ind w:firstLine="482"/>
              <w:rPr>
                <w:color w:val="auto"/>
              </w:rPr>
            </w:pPr>
            <w:r>
              <w:rPr>
                <w:color w:val="auto"/>
              </w:rPr>
              <w:t>二、污染物排放标准</w:t>
            </w:r>
          </w:p>
          <w:p w14:paraId="53B157E6">
            <w:pPr>
              <w:pStyle w:val="4"/>
              <w:ind w:firstLine="482"/>
              <w:rPr>
                <w:color w:val="auto"/>
              </w:rPr>
            </w:pPr>
            <w:r>
              <w:rPr>
                <w:color w:val="auto"/>
              </w:rPr>
              <w:t>1、废水</w:t>
            </w:r>
          </w:p>
          <w:p w14:paraId="5585F370">
            <w:pPr>
              <w:ind w:firstLine="480"/>
              <w:rPr>
                <w:color w:val="auto"/>
              </w:rPr>
            </w:pPr>
            <w:r>
              <w:rPr>
                <w:color w:val="auto"/>
              </w:rPr>
              <w:t>施工期生产废水经隔油沉淀处理后，回用于施工区洒水抑尘，不外排。生活污水通过生活污水处理设施收集处理后用作于附近农林地肥用，不外排。</w:t>
            </w:r>
          </w:p>
          <w:p w14:paraId="0ED8E436">
            <w:pPr>
              <w:ind w:firstLine="480"/>
              <w:rPr>
                <w:color w:val="auto"/>
              </w:rPr>
            </w:pPr>
            <w:r>
              <w:rPr>
                <w:color w:val="auto"/>
              </w:rPr>
              <w:t>运营期不产生废水。</w:t>
            </w:r>
          </w:p>
          <w:p w14:paraId="31B79AE6">
            <w:pPr>
              <w:pStyle w:val="4"/>
              <w:ind w:firstLine="482"/>
              <w:rPr>
                <w:color w:val="auto"/>
              </w:rPr>
            </w:pPr>
            <w:r>
              <w:rPr>
                <w:color w:val="auto"/>
              </w:rPr>
              <w:t>2、废气</w:t>
            </w:r>
          </w:p>
          <w:p w14:paraId="7AF604D6">
            <w:pPr>
              <w:ind w:firstLine="480"/>
              <w:rPr>
                <w:color w:val="auto"/>
              </w:rPr>
            </w:pPr>
            <w:r>
              <w:rPr>
                <w:color w:val="auto"/>
              </w:rPr>
              <w:t>施工期执行《四川省施工场地扬尘排放标准》</w:t>
            </w:r>
            <w:r>
              <w:rPr>
                <w:rFonts w:hint="eastAsia"/>
                <w:color w:val="auto"/>
              </w:rPr>
              <w:t>（</w:t>
            </w:r>
            <w:r>
              <w:rPr>
                <w:color w:val="auto"/>
              </w:rPr>
              <w:t>DB51/2682-2020</w:t>
            </w:r>
            <w:r>
              <w:rPr>
                <w:rFonts w:hint="eastAsia"/>
                <w:color w:val="auto"/>
              </w:rPr>
              <w:t>）</w:t>
            </w:r>
            <w:r>
              <w:rPr>
                <w:color w:val="auto"/>
              </w:rPr>
              <w:t>中的扬尘排放限值。运营期</w:t>
            </w:r>
            <w:r>
              <w:rPr>
                <w:color w:val="auto"/>
                <w:lang w:eastAsia="zh-Hans"/>
              </w:rPr>
              <w:t>不产生废气</w:t>
            </w:r>
            <w:r>
              <w:rPr>
                <w:color w:val="auto"/>
              </w:rPr>
              <w:t>。</w:t>
            </w:r>
          </w:p>
          <w:p w14:paraId="4B248BCA">
            <w:pPr>
              <w:pStyle w:val="17"/>
              <w:rPr>
                <w:rFonts w:hint="default"/>
                <w:color w:val="auto"/>
              </w:rPr>
            </w:pPr>
            <w:r>
              <w:rPr>
                <w:rFonts w:hint="default"/>
                <w:color w:val="auto"/>
              </w:rPr>
              <w:t>表3-1</w:t>
            </w:r>
            <w:r>
              <w:rPr>
                <w:color w:val="auto"/>
              </w:rPr>
              <w:t>1</w:t>
            </w:r>
            <w:r>
              <w:rPr>
                <w:rFonts w:hint="default"/>
                <w:color w:val="auto"/>
              </w:rPr>
              <w:t>《四川省施工场地扬尘排放标准》（DB51/2682-2020）</w:t>
            </w:r>
          </w:p>
          <w:tbl>
            <w:tblPr>
              <w:tblStyle w:val="1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20"/>
              <w:gridCol w:w="3864"/>
              <w:gridCol w:w="2838"/>
            </w:tblGrid>
            <w:tr w14:paraId="1A97F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tcBorders>
                    <w:tl2br w:val="nil"/>
                    <w:tr2bl w:val="nil"/>
                  </w:tcBorders>
                  <w:vAlign w:val="center"/>
                </w:tcPr>
                <w:p w14:paraId="54139C93">
                  <w:pPr>
                    <w:pStyle w:val="16"/>
                    <w:jc w:val="center"/>
                    <w:rPr>
                      <w:color w:val="auto"/>
                    </w:rPr>
                  </w:pPr>
                  <w:r>
                    <w:rPr>
                      <w:color w:val="auto"/>
                    </w:rPr>
                    <w:t>污染物</w:t>
                  </w:r>
                </w:p>
              </w:tc>
              <w:tc>
                <w:tcPr>
                  <w:tcW w:w="2321" w:type="pct"/>
                  <w:tcBorders>
                    <w:tl2br w:val="nil"/>
                    <w:tr2bl w:val="nil"/>
                  </w:tcBorders>
                  <w:vAlign w:val="center"/>
                </w:tcPr>
                <w:p w14:paraId="0F6A853A">
                  <w:pPr>
                    <w:pStyle w:val="16"/>
                    <w:jc w:val="center"/>
                    <w:rPr>
                      <w:color w:val="auto"/>
                    </w:rPr>
                  </w:pPr>
                  <w:r>
                    <w:rPr>
                      <w:color w:val="auto"/>
                    </w:rPr>
                    <w:t>施工阶段</w:t>
                  </w:r>
                </w:p>
              </w:tc>
              <w:tc>
                <w:tcPr>
                  <w:tcW w:w="1705" w:type="pct"/>
                  <w:tcBorders>
                    <w:tl2br w:val="nil"/>
                    <w:tr2bl w:val="nil"/>
                  </w:tcBorders>
                  <w:vAlign w:val="center"/>
                </w:tcPr>
                <w:p w14:paraId="0485C309">
                  <w:pPr>
                    <w:pStyle w:val="16"/>
                    <w:jc w:val="center"/>
                    <w:rPr>
                      <w:color w:val="auto"/>
                    </w:rPr>
                  </w:pPr>
                  <w:r>
                    <w:rPr>
                      <w:color w:val="auto"/>
                    </w:rPr>
                    <w:t>监测点排放限值（μg/m</w:t>
                  </w:r>
                  <w:r>
                    <w:rPr>
                      <w:color w:val="auto"/>
                      <w:vertAlign w:val="superscript"/>
                    </w:rPr>
                    <w:t>3</w:t>
                  </w:r>
                  <w:r>
                    <w:rPr>
                      <w:color w:val="auto"/>
                    </w:rPr>
                    <w:t>）</w:t>
                  </w:r>
                </w:p>
              </w:tc>
            </w:tr>
            <w:tr w14:paraId="1786E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vMerge w:val="restart"/>
                  <w:tcBorders>
                    <w:tl2br w:val="nil"/>
                    <w:tr2bl w:val="nil"/>
                  </w:tcBorders>
                  <w:vAlign w:val="center"/>
                </w:tcPr>
                <w:p w14:paraId="52CEE81D">
                  <w:pPr>
                    <w:pStyle w:val="16"/>
                    <w:jc w:val="center"/>
                    <w:rPr>
                      <w:color w:val="auto"/>
                    </w:rPr>
                  </w:pPr>
                  <w:r>
                    <w:rPr>
                      <w:color w:val="auto"/>
                    </w:rPr>
                    <w:t>总悬浮颗粒物（TSP）</w:t>
                  </w:r>
                </w:p>
              </w:tc>
              <w:tc>
                <w:tcPr>
                  <w:tcW w:w="2321" w:type="pct"/>
                  <w:tcBorders>
                    <w:tl2br w:val="nil"/>
                    <w:tr2bl w:val="nil"/>
                  </w:tcBorders>
                  <w:vAlign w:val="center"/>
                </w:tcPr>
                <w:p w14:paraId="66AB8BD5">
                  <w:pPr>
                    <w:pStyle w:val="16"/>
                    <w:jc w:val="center"/>
                    <w:rPr>
                      <w:color w:val="auto"/>
                    </w:rPr>
                  </w:pPr>
                  <w:r>
                    <w:rPr>
                      <w:color w:val="auto"/>
                    </w:rPr>
                    <w:t>拆除工程/土方开挖/土方回填阶段</w:t>
                  </w:r>
                </w:p>
              </w:tc>
              <w:tc>
                <w:tcPr>
                  <w:tcW w:w="1705" w:type="pct"/>
                  <w:tcBorders>
                    <w:tl2br w:val="nil"/>
                    <w:tr2bl w:val="nil"/>
                  </w:tcBorders>
                  <w:vAlign w:val="center"/>
                </w:tcPr>
                <w:p w14:paraId="5E20486A">
                  <w:pPr>
                    <w:pStyle w:val="16"/>
                    <w:jc w:val="center"/>
                    <w:rPr>
                      <w:color w:val="auto"/>
                    </w:rPr>
                  </w:pPr>
                  <w:r>
                    <w:rPr>
                      <w:color w:val="auto"/>
                    </w:rPr>
                    <w:t>600</w:t>
                  </w:r>
                </w:p>
              </w:tc>
            </w:tr>
            <w:tr w14:paraId="1FC2DF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73" w:type="pct"/>
                  <w:vMerge w:val="continue"/>
                  <w:tcBorders>
                    <w:tl2br w:val="nil"/>
                    <w:tr2bl w:val="nil"/>
                  </w:tcBorders>
                  <w:vAlign w:val="center"/>
                </w:tcPr>
                <w:p w14:paraId="2CB69EB9">
                  <w:pPr>
                    <w:pStyle w:val="16"/>
                    <w:jc w:val="center"/>
                    <w:rPr>
                      <w:color w:val="auto"/>
                    </w:rPr>
                  </w:pPr>
                </w:p>
              </w:tc>
              <w:tc>
                <w:tcPr>
                  <w:tcW w:w="2321" w:type="pct"/>
                  <w:tcBorders>
                    <w:tl2br w:val="nil"/>
                    <w:tr2bl w:val="nil"/>
                  </w:tcBorders>
                  <w:vAlign w:val="center"/>
                </w:tcPr>
                <w:p w14:paraId="74F3DC0C">
                  <w:pPr>
                    <w:pStyle w:val="16"/>
                    <w:jc w:val="center"/>
                    <w:rPr>
                      <w:color w:val="auto"/>
                    </w:rPr>
                  </w:pPr>
                  <w:r>
                    <w:rPr>
                      <w:color w:val="auto"/>
                    </w:rPr>
                    <w:t>其他工程阶段</w:t>
                  </w:r>
                </w:p>
              </w:tc>
              <w:tc>
                <w:tcPr>
                  <w:tcW w:w="1705" w:type="pct"/>
                  <w:tcBorders>
                    <w:tl2br w:val="nil"/>
                    <w:tr2bl w:val="nil"/>
                  </w:tcBorders>
                  <w:vAlign w:val="center"/>
                </w:tcPr>
                <w:p w14:paraId="4A4DA514">
                  <w:pPr>
                    <w:pStyle w:val="16"/>
                    <w:jc w:val="center"/>
                    <w:rPr>
                      <w:color w:val="auto"/>
                    </w:rPr>
                  </w:pPr>
                  <w:r>
                    <w:rPr>
                      <w:color w:val="auto"/>
                    </w:rPr>
                    <w:t>250</w:t>
                  </w:r>
                </w:p>
              </w:tc>
            </w:tr>
          </w:tbl>
          <w:p w14:paraId="11FB64AF">
            <w:pPr>
              <w:pStyle w:val="4"/>
              <w:ind w:firstLine="422"/>
              <w:rPr>
                <w:color w:val="auto"/>
                <w:sz w:val="21"/>
              </w:rPr>
            </w:pPr>
          </w:p>
          <w:p w14:paraId="120C1A3D">
            <w:pPr>
              <w:pStyle w:val="4"/>
              <w:ind w:firstLine="482"/>
              <w:rPr>
                <w:color w:val="auto"/>
              </w:rPr>
            </w:pPr>
            <w:r>
              <w:rPr>
                <w:color w:val="auto"/>
              </w:rPr>
              <w:t>3</w:t>
            </w:r>
            <w:r>
              <w:rPr>
                <w:rFonts w:hint="eastAsia"/>
                <w:color w:val="auto"/>
              </w:rPr>
              <w:t>、噪声</w:t>
            </w:r>
          </w:p>
          <w:p w14:paraId="75574B95">
            <w:pPr>
              <w:ind w:firstLine="480"/>
              <w:rPr>
                <w:color w:val="auto"/>
              </w:rPr>
            </w:pPr>
            <w:r>
              <w:rPr>
                <w:color w:val="auto"/>
              </w:rPr>
              <w:t>施工期噪声执行《建筑施工噪声排放标准》（GB12523-20</w:t>
            </w:r>
            <w:r>
              <w:rPr>
                <w:rFonts w:hint="eastAsia"/>
                <w:color w:val="auto"/>
              </w:rPr>
              <w:t>25</w:t>
            </w:r>
            <w:r>
              <w:rPr>
                <w:color w:val="auto"/>
              </w:rPr>
              <w:t>），运营期</w:t>
            </w:r>
            <w:r>
              <w:rPr>
                <w:rFonts w:hint="eastAsia"/>
                <w:color w:val="auto"/>
              </w:rPr>
              <w:t>泵站等噪声</w:t>
            </w:r>
            <w:r>
              <w:rPr>
                <w:color w:val="auto"/>
              </w:rPr>
              <w:t>执行《工业企业厂界环境噪声排放标准》（GB12348-2008）中</w:t>
            </w:r>
            <w:r>
              <w:rPr>
                <w:rFonts w:hint="eastAsia"/>
                <w:color w:val="auto"/>
              </w:rPr>
              <w:t>2</w:t>
            </w:r>
            <w:r>
              <w:rPr>
                <w:color w:val="auto"/>
              </w:rPr>
              <w:t>类标准。具体见下表。</w:t>
            </w:r>
          </w:p>
          <w:p w14:paraId="30FB8087">
            <w:pPr>
              <w:pStyle w:val="17"/>
              <w:rPr>
                <w:rFonts w:hint="default"/>
                <w:color w:val="auto"/>
              </w:rPr>
            </w:pPr>
            <w:r>
              <w:rPr>
                <w:rFonts w:hint="default"/>
                <w:color w:val="auto"/>
              </w:rPr>
              <w:t>表3-1</w:t>
            </w:r>
            <w:r>
              <w:rPr>
                <w:color w:val="auto"/>
              </w:rPr>
              <w:t>2</w:t>
            </w:r>
            <w:r>
              <w:rPr>
                <w:rFonts w:hint="default"/>
                <w:color w:val="auto"/>
              </w:rPr>
              <w:t>噪声排放标准单位：dB（A）</w:t>
            </w:r>
          </w:p>
          <w:tbl>
            <w:tblPr>
              <w:tblStyle w:val="1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4849"/>
              <w:gridCol w:w="1395"/>
              <w:gridCol w:w="896"/>
            </w:tblGrid>
            <w:tr w14:paraId="636BA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346" w:type="dxa"/>
                  <w:gridSpan w:val="2"/>
                  <w:vAlign w:val="center"/>
                </w:tcPr>
                <w:p w14:paraId="3B7E7603">
                  <w:pPr>
                    <w:pStyle w:val="16"/>
                    <w:jc w:val="center"/>
                    <w:rPr>
                      <w:color w:val="auto"/>
                    </w:rPr>
                  </w:pPr>
                  <w:r>
                    <w:rPr>
                      <w:color w:val="auto"/>
                    </w:rPr>
                    <w:t>标准</w:t>
                  </w:r>
                </w:p>
              </w:tc>
              <w:tc>
                <w:tcPr>
                  <w:tcW w:w="1236" w:type="dxa"/>
                  <w:vAlign w:val="center"/>
                </w:tcPr>
                <w:p w14:paraId="7D82290D">
                  <w:pPr>
                    <w:pStyle w:val="16"/>
                    <w:jc w:val="center"/>
                    <w:rPr>
                      <w:color w:val="auto"/>
                    </w:rPr>
                  </w:pPr>
                  <w:r>
                    <w:rPr>
                      <w:color w:val="auto"/>
                    </w:rPr>
                    <w:t>昼间</w:t>
                  </w:r>
                </w:p>
              </w:tc>
              <w:tc>
                <w:tcPr>
                  <w:tcW w:w="794" w:type="dxa"/>
                  <w:vAlign w:val="center"/>
                </w:tcPr>
                <w:p w14:paraId="056DE15F">
                  <w:pPr>
                    <w:pStyle w:val="16"/>
                    <w:jc w:val="center"/>
                    <w:rPr>
                      <w:color w:val="auto"/>
                    </w:rPr>
                  </w:pPr>
                  <w:r>
                    <w:rPr>
                      <w:color w:val="auto"/>
                    </w:rPr>
                    <w:t>夜间</w:t>
                  </w:r>
                </w:p>
              </w:tc>
            </w:tr>
            <w:tr w14:paraId="59BB84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50" w:type="dxa"/>
                  <w:vAlign w:val="center"/>
                </w:tcPr>
                <w:p w14:paraId="32FB0D0D">
                  <w:pPr>
                    <w:pStyle w:val="16"/>
                    <w:jc w:val="center"/>
                    <w:rPr>
                      <w:color w:val="auto"/>
                    </w:rPr>
                  </w:pPr>
                  <w:r>
                    <w:rPr>
                      <w:rFonts w:hint="eastAsia"/>
                      <w:color w:val="auto"/>
                    </w:rPr>
                    <w:t>施工期</w:t>
                  </w:r>
                </w:p>
              </w:tc>
              <w:tc>
                <w:tcPr>
                  <w:tcW w:w="4296" w:type="dxa"/>
                  <w:vAlign w:val="center"/>
                </w:tcPr>
                <w:p w14:paraId="64307EAB">
                  <w:pPr>
                    <w:pStyle w:val="16"/>
                    <w:jc w:val="center"/>
                    <w:rPr>
                      <w:color w:val="auto"/>
                    </w:rPr>
                  </w:pPr>
                  <w:r>
                    <w:rPr>
                      <w:color w:val="auto"/>
                    </w:rPr>
                    <w:t>《建筑施工噪声排放标准》（GB12523-20</w:t>
                  </w:r>
                  <w:r>
                    <w:rPr>
                      <w:rFonts w:hint="eastAsia"/>
                      <w:color w:val="auto"/>
                    </w:rPr>
                    <w:t>25</w:t>
                  </w:r>
                  <w:r>
                    <w:rPr>
                      <w:color w:val="auto"/>
                    </w:rPr>
                    <w:t>）</w:t>
                  </w:r>
                </w:p>
              </w:tc>
              <w:tc>
                <w:tcPr>
                  <w:tcW w:w="1236" w:type="dxa"/>
                  <w:vAlign w:val="center"/>
                </w:tcPr>
                <w:p w14:paraId="337842E2">
                  <w:pPr>
                    <w:pStyle w:val="16"/>
                    <w:jc w:val="center"/>
                    <w:rPr>
                      <w:color w:val="auto"/>
                    </w:rPr>
                  </w:pPr>
                  <w:r>
                    <w:rPr>
                      <w:color w:val="auto"/>
                    </w:rPr>
                    <w:t>70</w:t>
                  </w:r>
                </w:p>
              </w:tc>
              <w:tc>
                <w:tcPr>
                  <w:tcW w:w="794" w:type="dxa"/>
                  <w:vAlign w:val="center"/>
                </w:tcPr>
                <w:p w14:paraId="27AAACFF">
                  <w:pPr>
                    <w:pStyle w:val="16"/>
                    <w:jc w:val="center"/>
                    <w:rPr>
                      <w:color w:val="auto"/>
                    </w:rPr>
                  </w:pPr>
                  <w:r>
                    <w:rPr>
                      <w:color w:val="auto"/>
                    </w:rPr>
                    <w:t>55</w:t>
                  </w:r>
                </w:p>
              </w:tc>
            </w:tr>
            <w:tr w14:paraId="7EEDA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50" w:type="dxa"/>
                  <w:vAlign w:val="center"/>
                </w:tcPr>
                <w:p w14:paraId="09E0E351">
                  <w:pPr>
                    <w:pStyle w:val="16"/>
                    <w:jc w:val="center"/>
                    <w:rPr>
                      <w:color w:val="auto"/>
                    </w:rPr>
                  </w:pPr>
                  <w:r>
                    <w:rPr>
                      <w:rFonts w:hint="eastAsia"/>
                      <w:color w:val="auto"/>
                    </w:rPr>
                    <w:t>营运期</w:t>
                  </w:r>
                </w:p>
              </w:tc>
              <w:tc>
                <w:tcPr>
                  <w:tcW w:w="4296" w:type="dxa"/>
                  <w:vAlign w:val="center"/>
                </w:tcPr>
                <w:p w14:paraId="137D4FED">
                  <w:pPr>
                    <w:pStyle w:val="16"/>
                    <w:jc w:val="center"/>
                    <w:rPr>
                      <w:color w:val="auto"/>
                    </w:rPr>
                  </w:pPr>
                  <w:r>
                    <w:rPr>
                      <w:rFonts w:hint="eastAsia"/>
                      <w:color w:val="auto"/>
                    </w:rPr>
                    <w:t>《工业企业厂界环境噪声排放标准》（</w:t>
                  </w:r>
                  <w:r>
                    <w:rPr>
                      <w:color w:val="auto"/>
                    </w:rPr>
                    <w:t>GB12348-2008</w:t>
                  </w:r>
                  <w:r>
                    <w:rPr>
                      <w:rFonts w:hint="eastAsia"/>
                      <w:color w:val="auto"/>
                    </w:rPr>
                    <w:t>）2类</w:t>
                  </w:r>
                </w:p>
              </w:tc>
              <w:tc>
                <w:tcPr>
                  <w:tcW w:w="1236" w:type="dxa"/>
                  <w:vAlign w:val="center"/>
                </w:tcPr>
                <w:p w14:paraId="49700519">
                  <w:pPr>
                    <w:pStyle w:val="16"/>
                    <w:jc w:val="center"/>
                    <w:rPr>
                      <w:color w:val="auto"/>
                    </w:rPr>
                  </w:pPr>
                  <w:r>
                    <w:rPr>
                      <w:color w:val="auto"/>
                    </w:rPr>
                    <w:t>6</w:t>
                  </w:r>
                  <w:r>
                    <w:rPr>
                      <w:rFonts w:hint="eastAsia"/>
                      <w:color w:val="auto"/>
                    </w:rPr>
                    <w:t>0</w:t>
                  </w:r>
                </w:p>
              </w:tc>
              <w:tc>
                <w:tcPr>
                  <w:tcW w:w="794" w:type="dxa"/>
                  <w:vAlign w:val="center"/>
                </w:tcPr>
                <w:p w14:paraId="69806D4A">
                  <w:pPr>
                    <w:pStyle w:val="16"/>
                    <w:jc w:val="center"/>
                    <w:rPr>
                      <w:color w:val="auto"/>
                    </w:rPr>
                  </w:pPr>
                  <w:r>
                    <w:rPr>
                      <w:color w:val="auto"/>
                    </w:rPr>
                    <w:t>5</w:t>
                  </w:r>
                  <w:r>
                    <w:rPr>
                      <w:rFonts w:hint="eastAsia"/>
                      <w:color w:val="auto"/>
                    </w:rPr>
                    <w:t>0</w:t>
                  </w:r>
                </w:p>
              </w:tc>
            </w:tr>
          </w:tbl>
          <w:p w14:paraId="7F4F903F">
            <w:pPr>
              <w:ind w:firstLine="482"/>
              <w:rPr>
                <w:b/>
                <w:bCs/>
                <w:color w:val="auto"/>
              </w:rPr>
            </w:pPr>
            <w:r>
              <w:rPr>
                <w:b/>
                <w:bCs/>
                <w:color w:val="auto"/>
              </w:rPr>
              <w:t>4、固废</w:t>
            </w:r>
          </w:p>
          <w:p w14:paraId="2A5DC67C">
            <w:pPr>
              <w:ind w:firstLine="480"/>
              <w:rPr>
                <w:color w:val="auto"/>
              </w:rPr>
            </w:pPr>
            <w:r>
              <w:rPr>
                <w:rFonts w:hint="eastAsia" w:eastAsia="宋"/>
                <w:color w:val="auto"/>
              </w:rPr>
              <w:t>建筑</w:t>
            </w:r>
            <w:r>
              <w:rPr>
                <w:rFonts w:hint="eastAsia" w:ascii="宋体" w:hAnsi="宋体" w:cs="宋体"/>
                <w:color w:val="auto"/>
              </w:rPr>
              <w:t>垃圾执行</w:t>
            </w:r>
            <w:r>
              <w:rPr>
                <w:rFonts w:hint="eastAsia" w:eastAsia="宋"/>
                <w:color w:val="auto"/>
              </w:rPr>
              <w:t>《</w:t>
            </w:r>
            <w:r>
              <w:rPr>
                <w:rFonts w:eastAsia="宋"/>
                <w:color w:val="auto"/>
              </w:rPr>
              <w:t>建筑</w:t>
            </w:r>
            <w:r>
              <w:rPr>
                <w:rFonts w:hint="eastAsia" w:ascii="宋体" w:hAnsi="宋体" w:cs="宋体"/>
                <w:color w:val="auto"/>
              </w:rPr>
              <w:t>垃圾</w:t>
            </w:r>
            <w:r>
              <w:rPr>
                <w:rFonts w:hint="eastAsia" w:eastAsia="宋"/>
                <w:color w:val="auto"/>
              </w:rPr>
              <w:t>污染控制</w:t>
            </w:r>
            <w:r>
              <w:rPr>
                <w:rFonts w:hint="eastAsia" w:ascii="宋体" w:hAnsi="宋体" w:cs="宋体"/>
                <w:color w:val="auto"/>
              </w:rPr>
              <w:t>技术</w:t>
            </w:r>
            <w:r>
              <w:rPr>
                <w:rFonts w:hint="eastAsia" w:eastAsia="宋"/>
                <w:color w:val="auto"/>
              </w:rPr>
              <w:t>规范》（</w:t>
            </w:r>
            <w:r>
              <w:rPr>
                <w:rFonts w:eastAsia="宋"/>
                <w:color w:val="auto"/>
              </w:rPr>
              <w:t>HJ 1462—2026）</w:t>
            </w:r>
            <w:r>
              <w:rPr>
                <w:rFonts w:hint="eastAsia" w:eastAsia="宋"/>
                <w:color w:val="auto"/>
              </w:rPr>
              <w:t>，</w:t>
            </w:r>
            <w:r>
              <w:rPr>
                <w:rFonts w:eastAsia="宋"/>
                <w:color w:val="auto"/>
              </w:rPr>
              <w:t>生活</w:t>
            </w:r>
            <w:r>
              <w:rPr>
                <w:rFonts w:hint="eastAsia" w:ascii="宋体" w:hAnsi="宋体" w:cs="宋体"/>
                <w:color w:val="auto"/>
              </w:rPr>
              <w:t>垃圾</w:t>
            </w:r>
            <w:r>
              <w:rPr>
                <w:rFonts w:hint="eastAsia" w:eastAsia="宋"/>
                <w:color w:val="auto"/>
              </w:rPr>
              <w:t>收运执行《生活</w:t>
            </w:r>
            <w:r>
              <w:rPr>
                <w:rFonts w:hint="eastAsia" w:ascii="宋体" w:hAnsi="宋体" w:cs="宋体"/>
                <w:color w:val="auto"/>
              </w:rPr>
              <w:t>垃圾</w:t>
            </w:r>
            <w:r>
              <w:rPr>
                <w:rFonts w:hint="eastAsia" w:eastAsia="宋"/>
                <w:color w:val="auto"/>
              </w:rPr>
              <w:t>收集运输</w:t>
            </w:r>
            <w:r>
              <w:rPr>
                <w:rFonts w:hint="eastAsia" w:ascii="宋体" w:hAnsi="宋体" w:cs="宋体"/>
                <w:color w:val="auto"/>
              </w:rPr>
              <w:t>技术</w:t>
            </w:r>
            <w:r>
              <w:rPr>
                <w:rFonts w:hint="eastAsia" w:eastAsia="宋"/>
                <w:color w:val="auto"/>
              </w:rPr>
              <w:t>规程》（</w:t>
            </w:r>
            <w:r>
              <w:rPr>
                <w:rFonts w:eastAsia="宋"/>
                <w:color w:val="auto"/>
              </w:rPr>
              <w:t>CJJ 205-2013），</w:t>
            </w:r>
            <w:r>
              <w:rPr>
                <w:rFonts w:hint="eastAsia" w:eastAsia="宋"/>
                <w:color w:val="auto"/>
              </w:rPr>
              <w:t>一般工业固体废物执行《一般工业固体废物贮存和填埋污染控制标准》(GB18599-2020)</w:t>
            </w:r>
            <w:r>
              <w:rPr>
                <w:rFonts w:eastAsia="宋"/>
                <w:color w:val="auto"/>
              </w:rPr>
              <w:t>规定要求；危险废物执行《危险废物贮存污染控制标准》（GB18597-2023）规定要求</w:t>
            </w:r>
            <w:r>
              <w:rPr>
                <w:color w:val="auto"/>
              </w:rPr>
              <w:t>。</w:t>
            </w:r>
          </w:p>
          <w:p w14:paraId="6A9457CA">
            <w:pPr>
              <w:ind w:firstLine="482"/>
              <w:rPr>
                <w:b/>
                <w:bCs/>
                <w:color w:val="auto"/>
              </w:rPr>
            </w:pPr>
            <w:r>
              <w:rPr>
                <w:b/>
                <w:bCs/>
                <w:color w:val="auto"/>
              </w:rPr>
              <w:t>5、生态环境</w:t>
            </w:r>
          </w:p>
          <w:p w14:paraId="57F8CAEE">
            <w:pPr>
              <w:ind w:firstLine="480"/>
              <w:rPr>
                <w:color w:val="auto"/>
                <w:kern w:val="0"/>
              </w:rPr>
            </w:pPr>
            <w:r>
              <w:rPr>
                <w:color w:val="auto"/>
              </w:rPr>
              <w:t>以不减少区域内濒危</w:t>
            </w:r>
            <w:r>
              <w:rPr>
                <w:rFonts w:hint="eastAsia"/>
                <w:color w:val="auto"/>
              </w:rPr>
              <w:t>珍稀</w:t>
            </w:r>
            <w:r>
              <w:rPr>
                <w:color w:val="auto"/>
              </w:rPr>
              <w:t>动植物和不破坏生态系统的完整性为标准，水土流失以不改变土壤侵蚀类型为标准。</w:t>
            </w:r>
          </w:p>
        </w:tc>
      </w:tr>
      <w:tr w14:paraId="14347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52" w:type="dxa"/>
            <w:vAlign w:val="center"/>
          </w:tcPr>
          <w:p w14:paraId="2678163F">
            <w:pPr>
              <w:adjustRightInd w:val="0"/>
              <w:snapToGrid w:val="0"/>
              <w:ind w:firstLine="0" w:firstLineChars="0"/>
              <w:rPr>
                <w:color w:val="auto"/>
                <w:kern w:val="0"/>
                <w:sz w:val="20"/>
                <w:szCs w:val="20"/>
              </w:rPr>
            </w:pPr>
            <w:r>
              <w:rPr>
                <w:rFonts w:hint="eastAsia"/>
                <w:color w:val="auto"/>
                <w:kern w:val="0"/>
                <w:sz w:val="20"/>
                <w:szCs w:val="20"/>
              </w:rPr>
              <w:t>其他</w:t>
            </w:r>
          </w:p>
        </w:tc>
        <w:tc>
          <w:tcPr>
            <w:tcW w:w="8305" w:type="dxa"/>
            <w:vAlign w:val="center"/>
          </w:tcPr>
          <w:p w14:paraId="070CE186">
            <w:pPr>
              <w:ind w:firstLine="480"/>
              <w:rPr>
                <w:color w:val="auto"/>
                <w:kern w:val="0"/>
              </w:rPr>
            </w:pPr>
            <w:r>
              <w:rPr>
                <w:color w:val="auto"/>
              </w:rPr>
              <w:t>本项目不涉及总量控制问题。</w:t>
            </w:r>
          </w:p>
        </w:tc>
      </w:tr>
    </w:tbl>
    <w:p w14:paraId="3D1BEA42">
      <w:pPr>
        <w:widowControl/>
        <w:autoSpaceDE/>
        <w:autoSpaceDN/>
        <w:adjustRightInd w:val="0"/>
        <w:snapToGrid w:val="0"/>
        <w:spacing w:line="15" w:lineRule="auto"/>
        <w:jc w:val="center"/>
        <w:rPr>
          <w:rFonts w:eastAsia="黑体"/>
          <w:snapToGrid w:val="0"/>
          <w:color w:val="auto"/>
          <w:sz w:val="36"/>
          <w:szCs w:val="36"/>
        </w:rPr>
      </w:pPr>
    </w:p>
    <w:p w14:paraId="72F6ACEE">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6"/>
          <w:szCs w:val="36"/>
        </w:rPr>
        <w:br w:type="page"/>
      </w:r>
      <w:r>
        <w:rPr>
          <w:rFonts w:eastAsia="黑体"/>
          <w:snapToGrid w:val="0"/>
          <w:color w:val="auto"/>
          <w:sz w:val="30"/>
          <w:szCs w:val="30"/>
        </w:rPr>
        <w:t>四、生态环境影响分析</w:t>
      </w:r>
    </w:p>
    <w:tbl>
      <w:tblPr>
        <w:tblStyle w:val="1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1D56C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236" w:hRule="atLeast"/>
          <w:jc w:val="center"/>
        </w:trPr>
        <w:tc>
          <w:tcPr>
            <w:tcW w:w="879" w:type="dxa"/>
            <w:tcMar>
              <w:left w:w="28" w:type="dxa"/>
              <w:right w:w="28" w:type="dxa"/>
            </w:tcMar>
            <w:vAlign w:val="center"/>
          </w:tcPr>
          <w:p w14:paraId="7C55272F">
            <w:pPr>
              <w:adjustRightInd w:val="0"/>
              <w:snapToGrid w:val="0"/>
              <w:ind w:firstLine="0" w:firstLineChars="0"/>
              <w:rPr>
                <w:color w:val="auto"/>
                <w:kern w:val="0"/>
              </w:rPr>
            </w:pPr>
            <w:bookmarkStart w:id="20" w:name="_Hlk49796138"/>
            <w:r>
              <w:rPr>
                <w:color w:val="auto"/>
                <w:kern w:val="0"/>
              </w:rPr>
              <w:t>施工期生态环境影响分析</w:t>
            </w:r>
            <w:bookmarkEnd w:id="20"/>
          </w:p>
        </w:tc>
        <w:tc>
          <w:tcPr>
            <w:tcW w:w="8363" w:type="dxa"/>
          </w:tcPr>
          <w:p w14:paraId="03B9FA7E">
            <w:pPr>
              <w:adjustRightInd w:val="0"/>
              <w:snapToGrid w:val="0"/>
              <w:spacing w:before="120" w:beforeLines="50"/>
              <w:ind w:firstLine="482"/>
              <w:rPr>
                <w:rFonts w:cs="宋体"/>
                <w:b/>
                <w:bCs/>
                <w:color w:val="auto"/>
                <w:szCs w:val="21"/>
              </w:rPr>
            </w:pPr>
            <w:r>
              <w:rPr>
                <w:rFonts w:hint="eastAsia" w:cs="宋体"/>
                <w:b/>
                <w:bCs/>
                <w:color w:val="auto"/>
                <w:szCs w:val="21"/>
              </w:rPr>
              <w:t>1</w:t>
            </w:r>
            <w:r>
              <w:rPr>
                <w:rFonts w:cs="宋体"/>
                <w:b/>
                <w:bCs/>
                <w:color w:val="auto"/>
                <w:szCs w:val="21"/>
              </w:rPr>
              <w:t>.</w:t>
            </w:r>
            <w:r>
              <w:rPr>
                <w:rFonts w:hint="eastAsia" w:cs="宋体"/>
                <w:b/>
                <w:bCs/>
                <w:color w:val="auto"/>
                <w:szCs w:val="21"/>
              </w:rPr>
              <w:t>施工期环境影响因素识别</w:t>
            </w:r>
          </w:p>
          <w:p w14:paraId="582CE5D6">
            <w:pPr>
              <w:adjustRightInd w:val="0"/>
              <w:snapToGrid w:val="0"/>
              <w:ind w:firstLine="480"/>
              <w:rPr>
                <w:rFonts w:cs="宋体"/>
                <w:bCs/>
                <w:color w:val="auto"/>
                <w:szCs w:val="21"/>
              </w:rPr>
            </w:pPr>
            <w:r>
              <w:rPr>
                <w:rFonts w:hint="eastAsia" w:cs="宋体"/>
                <w:bCs/>
                <w:color w:val="auto"/>
                <w:szCs w:val="21"/>
              </w:rPr>
              <w:t>结合本项目施工特点，本项目施工期的主要环境影响因素有：施工噪声、施工扬尘、施工废气、施工废污水、施工固体废物、施工生态影响等。</w:t>
            </w:r>
          </w:p>
          <w:p w14:paraId="0B0AAD5D">
            <w:pPr>
              <w:adjustRightInd w:val="0"/>
              <w:snapToGrid w:val="0"/>
              <w:ind w:firstLine="482"/>
              <w:rPr>
                <w:rFonts w:cs="宋体"/>
                <w:b/>
                <w:color w:val="auto"/>
                <w:szCs w:val="21"/>
              </w:rPr>
            </w:pPr>
            <w:r>
              <w:rPr>
                <w:rFonts w:hint="eastAsia" w:cs="宋体"/>
                <w:b/>
                <w:color w:val="auto"/>
                <w:szCs w:val="21"/>
              </w:rPr>
              <w:t>（1）施工废水</w:t>
            </w:r>
          </w:p>
          <w:p w14:paraId="33A97CB6">
            <w:pPr>
              <w:adjustRightInd w:val="0"/>
              <w:snapToGrid w:val="0"/>
              <w:ind w:firstLine="480"/>
              <w:rPr>
                <w:rFonts w:cs="宋体"/>
                <w:bCs/>
                <w:color w:val="auto"/>
                <w:szCs w:val="21"/>
              </w:rPr>
            </w:pPr>
            <w:r>
              <w:rPr>
                <w:rFonts w:hint="eastAsia" w:cs="宋体"/>
                <w:bCs/>
                <w:color w:val="auto"/>
                <w:szCs w:val="21"/>
              </w:rPr>
              <w:t>工程施工期产生生活污水及</w:t>
            </w:r>
            <w:r>
              <w:rPr>
                <w:rFonts w:hint="eastAsia"/>
                <w:color w:val="auto"/>
              </w:rPr>
              <w:t>混凝土</w:t>
            </w:r>
            <w:r>
              <w:rPr>
                <w:rFonts w:hint="eastAsia" w:cs="宋体"/>
                <w:bCs/>
                <w:color w:val="auto"/>
                <w:szCs w:val="21"/>
              </w:rPr>
              <w:t>拌合废水、设备冲洗废水、混凝土养护废水等施工废水，若处理不当则可能对地表水环境以及周围其他环境要素产生不良影响。</w:t>
            </w:r>
          </w:p>
          <w:p w14:paraId="7D890D46">
            <w:pPr>
              <w:adjustRightInd w:val="0"/>
              <w:snapToGrid w:val="0"/>
              <w:ind w:firstLine="482"/>
              <w:rPr>
                <w:rFonts w:cs="宋体"/>
                <w:b/>
                <w:color w:val="auto"/>
                <w:szCs w:val="21"/>
              </w:rPr>
            </w:pPr>
            <w:r>
              <w:rPr>
                <w:rFonts w:hint="eastAsia" w:cs="宋体"/>
                <w:b/>
                <w:color w:val="auto"/>
                <w:szCs w:val="21"/>
              </w:rPr>
              <w:t>（2）施工扬尘</w:t>
            </w:r>
          </w:p>
          <w:p w14:paraId="0DCF1FEF">
            <w:pPr>
              <w:adjustRightInd w:val="0"/>
              <w:snapToGrid w:val="0"/>
              <w:ind w:firstLine="480"/>
              <w:rPr>
                <w:rFonts w:cs="宋体"/>
                <w:bCs/>
                <w:color w:val="auto"/>
                <w:szCs w:val="21"/>
              </w:rPr>
            </w:pPr>
            <w:r>
              <w:rPr>
                <w:rFonts w:hint="eastAsia" w:cs="宋体"/>
                <w:bCs/>
                <w:color w:val="auto"/>
                <w:szCs w:val="21"/>
              </w:rPr>
              <w:t>施工开挖和车辆运输会发生扬尘，对周围环境产生暂时性、局部性影响。</w:t>
            </w:r>
          </w:p>
          <w:p w14:paraId="2FB6C1DE">
            <w:pPr>
              <w:adjustRightInd w:val="0"/>
              <w:snapToGrid w:val="0"/>
              <w:ind w:firstLine="482"/>
              <w:rPr>
                <w:rFonts w:cs="宋体"/>
                <w:b/>
                <w:bCs/>
                <w:color w:val="auto"/>
                <w:szCs w:val="21"/>
              </w:rPr>
            </w:pPr>
            <w:r>
              <w:rPr>
                <w:rFonts w:hint="eastAsia" w:cs="宋体"/>
                <w:b/>
                <w:bCs/>
                <w:color w:val="auto"/>
                <w:szCs w:val="21"/>
              </w:rPr>
              <w:t>（3）施工废气</w:t>
            </w:r>
          </w:p>
          <w:p w14:paraId="11382636">
            <w:pPr>
              <w:adjustRightInd w:val="0"/>
              <w:snapToGrid w:val="0"/>
              <w:ind w:firstLine="480"/>
              <w:rPr>
                <w:rFonts w:cs="宋体"/>
                <w:bCs/>
                <w:color w:val="auto"/>
                <w:szCs w:val="21"/>
              </w:rPr>
            </w:pPr>
            <w:r>
              <w:rPr>
                <w:rFonts w:hint="eastAsia" w:cs="宋体"/>
                <w:bCs/>
                <w:color w:val="auto"/>
                <w:szCs w:val="21"/>
              </w:rPr>
              <w:t>工程施工期产生施工机械及运输车辆尾气、</w:t>
            </w:r>
            <w:r>
              <w:rPr>
                <w:rFonts w:hint="eastAsia"/>
                <w:color w:val="auto"/>
              </w:rPr>
              <w:t>拌和粉尘</w:t>
            </w:r>
            <w:r>
              <w:rPr>
                <w:rFonts w:hint="eastAsia" w:cs="宋体"/>
                <w:bCs/>
                <w:color w:val="auto"/>
                <w:szCs w:val="21"/>
              </w:rPr>
              <w:t>等施工废气，随意排放会施工区域环境空气产生影响。</w:t>
            </w:r>
          </w:p>
          <w:p w14:paraId="4D7A323C">
            <w:pPr>
              <w:adjustRightInd w:val="0"/>
              <w:snapToGrid w:val="0"/>
              <w:ind w:firstLine="482"/>
              <w:rPr>
                <w:rFonts w:cs="宋体"/>
                <w:b/>
                <w:color w:val="auto"/>
                <w:szCs w:val="21"/>
              </w:rPr>
            </w:pPr>
            <w:r>
              <w:rPr>
                <w:rFonts w:hint="eastAsia" w:cs="宋体"/>
                <w:b/>
                <w:color w:val="auto"/>
                <w:szCs w:val="21"/>
              </w:rPr>
              <w:t>（4）施工噪声</w:t>
            </w:r>
          </w:p>
          <w:p w14:paraId="63E60C6C">
            <w:pPr>
              <w:adjustRightInd w:val="0"/>
              <w:snapToGrid w:val="0"/>
              <w:ind w:firstLine="480"/>
              <w:rPr>
                <w:rFonts w:cs="宋体"/>
                <w:bCs/>
                <w:color w:val="auto"/>
                <w:szCs w:val="21"/>
              </w:rPr>
            </w:pPr>
            <w:r>
              <w:rPr>
                <w:rFonts w:hint="eastAsia" w:cs="宋体"/>
                <w:bCs/>
                <w:color w:val="auto"/>
                <w:szCs w:val="21"/>
              </w:rPr>
              <w:t>各类施工机械噪声及施工车辆交通噪声可能对周围环境产生影响。</w:t>
            </w:r>
          </w:p>
          <w:p w14:paraId="2BA0E1C8">
            <w:pPr>
              <w:adjustRightInd w:val="0"/>
              <w:snapToGrid w:val="0"/>
              <w:ind w:firstLine="482"/>
              <w:rPr>
                <w:rFonts w:cs="宋体"/>
                <w:b/>
                <w:color w:val="auto"/>
                <w:szCs w:val="21"/>
              </w:rPr>
            </w:pPr>
            <w:r>
              <w:rPr>
                <w:rFonts w:hint="eastAsia" w:cs="宋体"/>
                <w:b/>
                <w:color w:val="auto"/>
                <w:szCs w:val="21"/>
              </w:rPr>
              <w:t>（</w:t>
            </w:r>
            <w:r>
              <w:rPr>
                <w:rFonts w:cs="宋体"/>
                <w:b/>
                <w:color w:val="auto"/>
                <w:szCs w:val="21"/>
              </w:rPr>
              <w:t>5</w:t>
            </w:r>
            <w:r>
              <w:rPr>
                <w:rFonts w:hint="eastAsia" w:cs="宋体"/>
                <w:b/>
                <w:color w:val="auto"/>
                <w:szCs w:val="21"/>
              </w:rPr>
              <w:t>）施工固体废物</w:t>
            </w:r>
          </w:p>
          <w:p w14:paraId="560276B1">
            <w:pPr>
              <w:adjustRightInd w:val="0"/>
              <w:snapToGrid w:val="0"/>
              <w:ind w:firstLine="480"/>
              <w:rPr>
                <w:rFonts w:cs="宋体"/>
                <w:bCs/>
                <w:color w:val="auto"/>
                <w:szCs w:val="21"/>
              </w:rPr>
            </w:pPr>
            <w:r>
              <w:rPr>
                <w:rFonts w:hint="eastAsia" w:cs="宋体"/>
                <w:bCs/>
                <w:color w:val="auto"/>
                <w:szCs w:val="21"/>
              </w:rPr>
              <w:t>施工过程中产生的建筑垃圾</w:t>
            </w:r>
            <w:r>
              <w:rPr>
                <w:rFonts w:hint="eastAsia"/>
                <w:color w:val="auto"/>
              </w:rPr>
              <w:t>和包装材料</w:t>
            </w:r>
            <w:r>
              <w:rPr>
                <w:rFonts w:hint="eastAsia" w:cs="宋体"/>
                <w:bCs/>
                <w:color w:val="auto"/>
                <w:szCs w:val="21"/>
              </w:rPr>
              <w:t>、生活垃圾等不妥善处理时可能对环境产生不良影响。</w:t>
            </w:r>
          </w:p>
          <w:p w14:paraId="3790579E">
            <w:pPr>
              <w:adjustRightInd w:val="0"/>
              <w:snapToGrid w:val="0"/>
              <w:ind w:firstLine="482"/>
              <w:rPr>
                <w:rFonts w:cs="宋体"/>
                <w:b/>
                <w:color w:val="auto"/>
                <w:szCs w:val="21"/>
              </w:rPr>
            </w:pPr>
            <w:r>
              <w:rPr>
                <w:rFonts w:hint="eastAsia" w:cs="宋体"/>
                <w:b/>
                <w:color w:val="auto"/>
                <w:szCs w:val="21"/>
              </w:rPr>
              <w:t>（</w:t>
            </w:r>
            <w:r>
              <w:rPr>
                <w:rFonts w:cs="宋体"/>
                <w:b/>
                <w:color w:val="auto"/>
                <w:szCs w:val="21"/>
              </w:rPr>
              <w:t>6</w:t>
            </w:r>
            <w:r>
              <w:rPr>
                <w:rFonts w:hint="eastAsia" w:cs="宋体"/>
                <w:b/>
                <w:color w:val="auto"/>
                <w:szCs w:val="21"/>
              </w:rPr>
              <w:t>）生态影响</w:t>
            </w:r>
          </w:p>
          <w:p w14:paraId="377E10C8">
            <w:pPr>
              <w:adjustRightInd w:val="0"/>
              <w:snapToGrid w:val="0"/>
              <w:ind w:firstLine="480"/>
              <w:rPr>
                <w:rFonts w:cs="宋体"/>
                <w:bCs/>
                <w:color w:val="auto"/>
                <w:szCs w:val="21"/>
              </w:rPr>
            </w:pPr>
            <w:r>
              <w:rPr>
                <w:rFonts w:hint="eastAsia" w:cs="宋体"/>
                <w:bCs/>
                <w:color w:val="auto"/>
                <w:szCs w:val="21"/>
              </w:rPr>
              <w:t>本项目施工占地将破坏部分植被，占用部分动物生境，对生态系统的植被覆盖度、生物量、生产力及功能等造成不利影响。</w:t>
            </w:r>
          </w:p>
          <w:p w14:paraId="69CD38AC">
            <w:pPr>
              <w:adjustRightInd w:val="0"/>
              <w:snapToGrid w:val="0"/>
              <w:ind w:firstLine="482"/>
              <w:rPr>
                <w:b/>
                <w:bCs/>
                <w:color w:val="auto"/>
                <w:kern w:val="0"/>
              </w:rPr>
            </w:pPr>
            <w:r>
              <w:rPr>
                <w:rFonts w:hint="eastAsia"/>
                <w:b/>
                <w:bCs/>
                <w:color w:val="auto"/>
                <w:kern w:val="0"/>
              </w:rPr>
              <w:t>2</w:t>
            </w:r>
            <w:r>
              <w:rPr>
                <w:b/>
                <w:bCs/>
                <w:color w:val="auto"/>
                <w:kern w:val="0"/>
              </w:rPr>
              <w:t>、生态环境影响分析</w:t>
            </w:r>
          </w:p>
          <w:p w14:paraId="1A2CA7AC">
            <w:pPr>
              <w:autoSpaceDE/>
              <w:autoSpaceDN/>
              <w:ind w:firstLine="480"/>
              <w:rPr>
                <w:rFonts w:eastAsia="宋"/>
                <w:color w:val="auto"/>
              </w:rPr>
            </w:pPr>
            <w:r>
              <w:rPr>
                <w:rFonts w:hint="eastAsia" w:eastAsia="宋"/>
                <w:color w:val="auto"/>
              </w:rPr>
              <w:t>本工程无涉水施工，施工不会对水生生态造成</w:t>
            </w:r>
            <w:r>
              <w:rPr>
                <w:rFonts w:hint="eastAsia" w:ascii="宋体" w:hAnsi="宋体" w:cs="宋体"/>
                <w:color w:val="auto"/>
              </w:rPr>
              <w:t>直接</w:t>
            </w:r>
            <w:r>
              <w:rPr>
                <w:rFonts w:hint="eastAsia" w:eastAsia="宋"/>
                <w:color w:val="auto"/>
              </w:rPr>
              <w:t>影响，生态环境影响主要是施工占地和扰动对动植物的影响。</w:t>
            </w:r>
          </w:p>
          <w:p w14:paraId="13CFB1FF">
            <w:pPr>
              <w:autoSpaceDE/>
              <w:autoSpaceDN/>
              <w:ind w:firstLine="482"/>
              <w:rPr>
                <w:rFonts w:hint="eastAsia" w:ascii="宋体" w:hAnsi="宋体" w:cs="宋体"/>
                <w:b/>
                <w:color w:val="auto"/>
              </w:rPr>
            </w:pPr>
            <w:r>
              <w:rPr>
                <w:rFonts w:eastAsia="宋,Bold"/>
                <w:b/>
                <w:color w:val="auto"/>
              </w:rPr>
              <w:t>（</w:t>
            </w:r>
            <w:r>
              <w:rPr>
                <w:rFonts w:eastAsia="TimesNewRomanPS-BoldMT"/>
                <w:b/>
                <w:color w:val="auto"/>
              </w:rPr>
              <w:t>1</w:t>
            </w:r>
            <w:r>
              <w:rPr>
                <w:rFonts w:eastAsia="宋,Bold"/>
                <w:b/>
                <w:color w:val="auto"/>
              </w:rPr>
              <w:t>）</w:t>
            </w:r>
            <w:r>
              <w:rPr>
                <w:rFonts w:hint="eastAsia" w:eastAsia="宋,Bold"/>
                <w:b/>
                <w:color w:val="auto"/>
              </w:rPr>
              <w:t>对植被植物的</w:t>
            </w:r>
            <w:r>
              <w:rPr>
                <w:rFonts w:hint="eastAsia" w:ascii="宋体" w:hAnsi="宋体" w:cs="宋体"/>
                <w:b/>
                <w:color w:val="auto"/>
              </w:rPr>
              <w:t>影响</w:t>
            </w:r>
          </w:p>
          <w:p w14:paraId="479C9A81">
            <w:pPr>
              <w:autoSpaceDE/>
              <w:autoSpaceDN/>
              <w:ind w:firstLine="480"/>
              <w:rPr>
                <w:rFonts w:eastAsia="宋"/>
                <w:color w:val="auto"/>
              </w:rPr>
            </w:pPr>
            <w:r>
              <w:rPr>
                <w:rFonts w:hint="eastAsia" w:cs="宋体"/>
                <w:bCs/>
                <w:color w:val="auto"/>
                <w:szCs w:val="21"/>
              </w:rPr>
              <w:t>本工程总占地</w:t>
            </w:r>
            <w:r>
              <w:rPr>
                <w:rFonts w:cs="宋体"/>
                <w:bCs/>
                <w:color w:val="auto"/>
                <w:szCs w:val="21"/>
              </w:rPr>
              <w:t>9.01hm</w:t>
            </w:r>
            <w:r>
              <w:rPr>
                <w:rFonts w:cs="宋体"/>
                <w:bCs/>
                <w:color w:val="auto"/>
                <w:szCs w:val="21"/>
                <w:vertAlign w:val="superscript"/>
              </w:rPr>
              <w:t>2</w:t>
            </w:r>
            <w:r>
              <w:rPr>
                <w:rFonts w:hint="eastAsia" w:cs="宋体"/>
                <w:bCs/>
                <w:color w:val="auto"/>
                <w:szCs w:val="21"/>
              </w:rPr>
              <w:t>，永久占地共</w:t>
            </w:r>
            <w:r>
              <w:rPr>
                <w:rFonts w:cs="宋体"/>
                <w:bCs/>
                <w:color w:val="auto"/>
                <w:szCs w:val="21"/>
              </w:rPr>
              <w:t>0.63hm</w:t>
            </w:r>
            <w:r>
              <w:rPr>
                <w:rFonts w:cs="宋体"/>
                <w:bCs/>
                <w:color w:val="auto"/>
                <w:szCs w:val="21"/>
                <w:vertAlign w:val="superscript"/>
              </w:rPr>
              <w:t>2</w:t>
            </w:r>
            <w:r>
              <w:rPr>
                <w:rFonts w:hint="eastAsia" w:cs="宋体"/>
                <w:bCs/>
                <w:color w:val="auto"/>
                <w:szCs w:val="21"/>
              </w:rPr>
              <w:t>，临时占地共</w:t>
            </w:r>
            <w:r>
              <w:rPr>
                <w:rFonts w:cs="宋体"/>
                <w:bCs/>
                <w:color w:val="auto"/>
                <w:szCs w:val="21"/>
              </w:rPr>
              <w:t>8.38hm</w:t>
            </w:r>
            <w:r>
              <w:rPr>
                <w:rFonts w:cs="宋体"/>
                <w:bCs/>
                <w:color w:val="auto"/>
                <w:szCs w:val="21"/>
                <w:vertAlign w:val="superscript"/>
              </w:rPr>
              <w:t>2</w:t>
            </w:r>
            <w:r>
              <w:rPr>
                <w:rFonts w:hint="eastAsia" w:cs="宋体"/>
                <w:bCs/>
                <w:color w:val="auto"/>
                <w:szCs w:val="21"/>
              </w:rPr>
              <w:t>。</w:t>
            </w:r>
            <w:r>
              <w:rPr>
                <w:rFonts w:eastAsia="宋"/>
                <w:color w:val="auto"/>
              </w:rPr>
              <w:t>项目工程范围内植被主要由杂草、低矮乔木、灌木、农作物等组成</w:t>
            </w:r>
            <w:r>
              <w:rPr>
                <w:rFonts w:hint="eastAsia" w:eastAsia="宋"/>
                <w:color w:val="auto"/>
              </w:rPr>
              <w:t>，</w:t>
            </w:r>
            <w:r>
              <w:rPr>
                <w:rFonts w:eastAsia="宋"/>
                <w:color w:val="auto"/>
              </w:rPr>
              <w:t>未发现国家重点保护植物和古树名木。</w:t>
            </w:r>
          </w:p>
          <w:p w14:paraId="5FCEBE71">
            <w:pPr>
              <w:pStyle w:val="11"/>
              <w:widowControl w:val="0"/>
              <w:spacing w:after="0" w:line="360" w:lineRule="auto"/>
              <w:ind w:firstLine="480" w:firstLineChars="200"/>
              <w:jc w:val="both"/>
              <w:rPr>
                <w:b/>
                <w:bCs/>
                <w:color w:val="auto"/>
              </w:rPr>
            </w:pPr>
            <w:r>
              <w:rPr>
                <w:color w:val="auto"/>
              </w:rPr>
              <w:t>工程永久及临时占地区域占用的自然植被在评价范围内较为常见，永久占用林地及灌草地的面积占评价范围面积较小，对于工程永久占用的林地可通过缴纳林地补偿费用进行异地补种等措施进行补偿，临时占地区在施工结束后通过及时进行植被恢复等措施可进行恢复，从而减缓临时占地对植被的影响。因此，本项目施工建设永久及临时占用对评价范围内的植被影响相对较小</w:t>
            </w:r>
            <w:r>
              <w:rPr>
                <w:rFonts w:hint="eastAsia"/>
                <w:color w:val="auto"/>
              </w:rPr>
              <w:t>，</w:t>
            </w:r>
            <w:r>
              <w:rPr>
                <w:rFonts w:eastAsia="宋"/>
                <w:color w:val="auto"/>
              </w:rPr>
              <w:t>不会对</w:t>
            </w:r>
            <w:r>
              <w:rPr>
                <w:rFonts w:hint="eastAsia" w:eastAsia="宋"/>
                <w:color w:val="auto"/>
              </w:rPr>
              <w:t>工程</w:t>
            </w:r>
            <w:r>
              <w:rPr>
                <w:rFonts w:eastAsia="宋"/>
                <w:color w:val="auto"/>
              </w:rPr>
              <w:t>区的生态系统稳定性和完整性造成影响。</w:t>
            </w:r>
          </w:p>
          <w:p w14:paraId="5DE02592">
            <w:pPr>
              <w:autoSpaceDE/>
              <w:autoSpaceDN/>
              <w:ind w:firstLine="482"/>
              <w:rPr>
                <w:rFonts w:eastAsia="宋,Bold"/>
                <w:b/>
                <w:color w:val="auto"/>
              </w:rPr>
            </w:pPr>
            <w:r>
              <w:rPr>
                <w:rFonts w:eastAsia="宋,Bold"/>
                <w:b/>
                <w:color w:val="auto"/>
              </w:rPr>
              <w:t>（</w:t>
            </w:r>
            <w:r>
              <w:rPr>
                <w:rFonts w:hint="eastAsia" w:ascii="Cambria" w:hAnsi="Cambria" w:eastAsia="TimesNewRomanPS-BoldMT"/>
                <w:b/>
                <w:color w:val="auto"/>
              </w:rPr>
              <w:t>2</w:t>
            </w:r>
            <w:r>
              <w:rPr>
                <w:rFonts w:eastAsia="宋,Bold"/>
                <w:b/>
                <w:color w:val="auto"/>
              </w:rPr>
              <w:t>）对动物的影响</w:t>
            </w:r>
          </w:p>
          <w:p w14:paraId="43212121">
            <w:pPr>
              <w:adjustRightInd w:val="0"/>
              <w:snapToGrid w:val="0"/>
              <w:ind w:firstLine="480"/>
              <w:rPr>
                <w:rFonts w:cs="宋体"/>
                <w:bCs/>
                <w:color w:val="auto"/>
                <w:szCs w:val="21"/>
              </w:rPr>
            </w:pPr>
            <w:r>
              <w:rPr>
                <w:rFonts w:hint="eastAsia" w:cs="宋体"/>
                <w:bCs/>
                <w:color w:val="auto"/>
                <w:szCs w:val="21"/>
              </w:rPr>
              <w:t>工程建设对动物的影响主要表现在两方面：一是工程占地直接侵占野生动物生境并对其造成直接干扰，二是施工噪声、人为活动等将迫使动物远离施工区。</w:t>
            </w:r>
          </w:p>
          <w:p w14:paraId="7B0E42A7">
            <w:pPr>
              <w:autoSpaceDE/>
              <w:autoSpaceDN/>
              <w:ind w:firstLine="480"/>
              <w:rPr>
                <w:color w:val="auto"/>
              </w:rPr>
            </w:pPr>
            <w:r>
              <w:rPr>
                <w:color w:val="auto"/>
              </w:rPr>
              <w:t>1</w:t>
            </w:r>
            <w:r>
              <w:rPr>
                <w:rFonts w:hint="eastAsia"/>
                <w:color w:val="auto"/>
              </w:rPr>
              <w:t>）</w:t>
            </w:r>
            <w:r>
              <w:rPr>
                <w:color w:val="auto"/>
              </w:rPr>
              <w:t>对两栖类、爬行类动物的影响</w:t>
            </w:r>
          </w:p>
          <w:p w14:paraId="40217D2B">
            <w:pPr>
              <w:autoSpaceDE/>
              <w:autoSpaceDN/>
              <w:ind w:firstLine="480"/>
              <w:rPr>
                <w:color w:val="auto"/>
              </w:rPr>
            </w:pPr>
            <w:r>
              <w:rPr>
                <w:snapToGrid w:val="0"/>
                <w:color w:val="auto"/>
              </w:rPr>
              <w:t>根据现场调查，施工临时道路等施工临时占地可能占用</w:t>
            </w:r>
            <w:r>
              <w:rPr>
                <w:rFonts w:hint="eastAsia"/>
                <w:snapToGrid w:val="0"/>
                <w:color w:val="auto"/>
              </w:rPr>
              <w:t>少量</w:t>
            </w:r>
            <w:r>
              <w:rPr>
                <w:snapToGrid w:val="0"/>
                <w:color w:val="auto"/>
              </w:rPr>
              <w:t>两栖、爬行类生境，随着施工结束、临时占地区植被生长，对其生境占用影响将逐渐减少。</w:t>
            </w:r>
          </w:p>
          <w:p w14:paraId="1AE60BBF">
            <w:pPr>
              <w:pStyle w:val="31"/>
              <w:widowControl w:val="0"/>
              <w:spacing w:after="0" w:line="360" w:lineRule="auto"/>
              <w:ind w:firstLine="480" w:firstLineChars="200"/>
              <w:jc w:val="both"/>
              <w:rPr>
                <w:snapToGrid w:val="0"/>
                <w:color w:val="auto"/>
              </w:rPr>
            </w:pPr>
            <w:r>
              <w:rPr>
                <w:snapToGrid w:val="0"/>
                <w:color w:val="auto"/>
              </w:rPr>
              <w:t>施工干扰的主要影响包括：施工活动对两栖、爬行类栖息生境的干扰和破坏，特别是对两栖动物的交配活动、产卵、卵的孵化等影响更大；施工机械噪声对两栖和爬行类的驱赶等。蛙类主要通过鸣声求偶，施工期噪声会对其求偶造成一定的干扰，降低其求偶繁殖率。蛙类求偶时间一般为晚上或凌晨，工程主要在白天施工，且单</w:t>
            </w:r>
            <w:r>
              <w:rPr>
                <w:rFonts w:hint="eastAsia"/>
                <w:snapToGrid w:val="0"/>
                <w:color w:val="auto"/>
              </w:rPr>
              <w:t>点</w:t>
            </w:r>
            <w:r>
              <w:rPr>
                <w:snapToGrid w:val="0"/>
                <w:color w:val="auto"/>
              </w:rPr>
              <w:t>施工工程量较小，施工噪声对其影响较小。施工活动产生的噪声和震动、施工人员的活动会干扰爬行类捕食和对其造成惊吓，将驱赶两栖、爬行类向周围相似生境迁徙</w:t>
            </w:r>
            <w:r>
              <w:rPr>
                <w:rFonts w:hint="eastAsia"/>
                <w:snapToGrid w:val="0"/>
                <w:color w:val="auto"/>
              </w:rPr>
              <w:t>，影响随施工结束而消失。</w:t>
            </w:r>
          </w:p>
          <w:p w14:paraId="7FD6DC71">
            <w:pPr>
              <w:autoSpaceDE/>
              <w:autoSpaceDN/>
              <w:ind w:firstLine="480"/>
              <w:rPr>
                <w:color w:val="auto"/>
              </w:rPr>
            </w:pPr>
            <w:r>
              <w:rPr>
                <w:color w:val="auto"/>
              </w:rPr>
              <w:t>2</w:t>
            </w:r>
            <w:r>
              <w:rPr>
                <w:rFonts w:hint="eastAsia"/>
                <w:color w:val="auto"/>
              </w:rPr>
              <w:t>）</w:t>
            </w:r>
            <w:r>
              <w:rPr>
                <w:color w:val="auto"/>
              </w:rPr>
              <w:t>对鸟类的影响</w:t>
            </w:r>
          </w:p>
          <w:p w14:paraId="1438F454">
            <w:pPr>
              <w:autoSpaceDE/>
              <w:autoSpaceDN/>
              <w:ind w:firstLine="480"/>
              <w:rPr>
                <w:snapToGrid w:val="0"/>
                <w:color w:val="auto"/>
              </w:rPr>
            </w:pPr>
            <w:r>
              <w:rPr>
                <w:snapToGrid w:val="0"/>
                <w:color w:val="auto"/>
              </w:rPr>
              <w:t>本项目占地会对施工扰动的区域鸟类的生境造成干扰和破坏，从而造成鸟类领地范围的改变和领地竞争，迫使部分鸟类迁离原栖息</w:t>
            </w:r>
            <w:r>
              <w:rPr>
                <w:rFonts w:hint="eastAsia"/>
                <w:snapToGrid w:val="0"/>
                <w:color w:val="auto"/>
              </w:rPr>
              <w:t>生境</w:t>
            </w:r>
            <w:r>
              <w:rPr>
                <w:snapToGrid w:val="0"/>
                <w:color w:val="auto"/>
              </w:rPr>
              <w:t>，但同时也为部分人居型鸟类提供了适宜的生存空间，进而影响区域鸟类的种群结构。</w:t>
            </w:r>
          </w:p>
          <w:p w14:paraId="1EB4B45C">
            <w:pPr>
              <w:pStyle w:val="31"/>
              <w:widowControl w:val="0"/>
              <w:spacing w:after="0" w:line="360" w:lineRule="auto"/>
              <w:ind w:firstLine="480" w:firstLineChars="200"/>
              <w:jc w:val="both"/>
              <w:rPr>
                <w:bCs/>
                <w:snapToGrid w:val="0"/>
                <w:color w:val="auto"/>
              </w:rPr>
            </w:pPr>
            <w:r>
              <w:rPr>
                <w:bCs/>
                <w:snapToGrid w:val="0"/>
                <w:color w:val="auto"/>
              </w:rPr>
              <w:t>施工机械噪声将会改变工程区域声环境，对工程区域的鸟类产生驱赶效应，迫使它们迁离原栖息</w:t>
            </w:r>
            <w:r>
              <w:rPr>
                <w:rFonts w:hint="eastAsia"/>
                <w:bCs/>
                <w:snapToGrid w:val="0"/>
                <w:color w:val="auto"/>
              </w:rPr>
              <w:t>生境</w:t>
            </w:r>
            <w:r>
              <w:rPr>
                <w:bCs/>
                <w:snapToGrid w:val="0"/>
                <w:color w:val="auto"/>
              </w:rPr>
              <w:t>。同时突发的高噪声活动容易影响繁殖期鸟类的繁殖习性，如弃巢等。但单</w:t>
            </w:r>
            <w:r>
              <w:rPr>
                <w:rFonts w:hint="eastAsia"/>
                <w:bCs/>
                <w:snapToGrid w:val="0"/>
                <w:color w:val="auto"/>
              </w:rPr>
              <w:t>个施工点</w:t>
            </w:r>
            <w:r>
              <w:rPr>
                <w:bCs/>
                <w:snapToGrid w:val="0"/>
                <w:color w:val="auto"/>
              </w:rPr>
              <w:t>的施工时间较短，施工噪声在施工活动停止后随即停止，影响仅发生在施工期间。同时，施工期施工活动也可能造成鸟卵破坏、幼鸟的死亡，这些影响在鸟类的繁殖期更加明显，但这些影响可以通过人工干预得以消除或减缓。在施工结束后，随着扰动区域植被的恢复和重建，部分区域栖息功能的恢复，影响生存竞争的人为因素消失，在项目区活动的鸟类将会重新分布，因此本工程施工活动对鸟类的长期影响较小。</w:t>
            </w:r>
          </w:p>
          <w:p w14:paraId="13F32E1C">
            <w:pPr>
              <w:autoSpaceDE/>
              <w:autoSpaceDN/>
              <w:ind w:firstLine="480"/>
              <w:rPr>
                <w:color w:val="auto"/>
              </w:rPr>
            </w:pPr>
            <w:r>
              <w:rPr>
                <w:color w:val="auto"/>
              </w:rPr>
              <w:t>3</w:t>
            </w:r>
            <w:r>
              <w:rPr>
                <w:rFonts w:hint="eastAsia"/>
                <w:color w:val="auto"/>
              </w:rPr>
              <w:t>）</w:t>
            </w:r>
            <w:r>
              <w:rPr>
                <w:color w:val="auto"/>
              </w:rPr>
              <w:t>对兽类的影响预测</w:t>
            </w:r>
          </w:p>
          <w:p w14:paraId="1E4F73F9">
            <w:pPr>
              <w:autoSpaceDE/>
              <w:autoSpaceDN/>
              <w:ind w:firstLine="480"/>
              <w:rPr>
                <w:color w:val="auto"/>
              </w:rPr>
            </w:pPr>
            <w:r>
              <w:rPr>
                <w:rFonts w:hint="eastAsia"/>
                <w:bCs/>
                <w:snapToGrid w:val="0"/>
                <w:color w:val="auto"/>
              </w:rPr>
              <w:t>工程</w:t>
            </w:r>
            <w:r>
              <w:rPr>
                <w:bCs/>
                <w:snapToGrid w:val="0"/>
                <w:color w:val="auto"/>
              </w:rPr>
              <w:t>占地零星分布，且占地面积小，会使部分施工区周边的兽类向周围扩散分布</w:t>
            </w:r>
            <w:r>
              <w:rPr>
                <w:rFonts w:hint="eastAsia"/>
                <w:bCs/>
                <w:snapToGrid w:val="0"/>
                <w:color w:val="auto"/>
              </w:rPr>
              <w:t>，</w:t>
            </w:r>
            <w:r>
              <w:rPr>
                <w:bCs/>
                <w:snapToGrid w:val="0"/>
                <w:color w:val="auto"/>
              </w:rPr>
              <w:t>对区域兽类影响较小，且在施工区周边有许多兽类的替代生境，兽类活动能力强，周边替代生境多，其能够较容易找到替代生境。施工活动结束后对线路施工场地和附近生态环境进行恢复，迁移或迁徙至他处的兽类可能会回归。</w:t>
            </w:r>
          </w:p>
          <w:p w14:paraId="0712FD02">
            <w:pPr>
              <w:autoSpaceDE/>
              <w:autoSpaceDN/>
              <w:ind w:firstLine="480"/>
              <w:rPr>
                <w:bCs/>
                <w:snapToGrid w:val="0"/>
                <w:color w:val="auto"/>
              </w:rPr>
            </w:pPr>
            <w:r>
              <w:rPr>
                <w:bCs/>
                <w:snapToGrid w:val="0"/>
                <w:color w:val="auto"/>
              </w:rPr>
              <w:t>施工活动产生的噪声和震动、施工人员活动会干扰施工范围及周边的兽类正常栖息和捕食，迫使其迁出施工及附近区域。</w:t>
            </w:r>
            <w:r>
              <w:rPr>
                <w:rFonts w:hint="eastAsia"/>
                <w:bCs/>
                <w:snapToGrid w:val="0"/>
                <w:color w:val="auto"/>
              </w:rPr>
              <w:t>兽类活动能力强，周边可替代生境多，</w:t>
            </w:r>
            <w:r>
              <w:rPr>
                <w:rFonts w:hint="eastAsia"/>
                <w:snapToGrid w:val="0"/>
                <w:color w:val="auto"/>
              </w:rPr>
              <w:t>影响随施工结束而消失。</w:t>
            </w:r>
          </w:p>
          <w:p w14:paraId="6056E9C3">
            <w:pPr>
              <w:adjustRightInd w:val="0"/>
              <w:snapToGrid w:val="0"/>
              <w:ind w:firstLine="480"/>
              <w:rPr>
                <w:rFonts w:hint="default" w:eastAsia="宋体" w:cs="宋体"/>
                <w:bCs/>
                <w:color w:val="auto"/>
                <w:szCs w:val="21"/>
                <w:lang w:val="en-US" w:eastAsia="zh-CN"/>
              </w:rPr>
            </w:pPr>
            <w:r>
              <w:rPr>
                <w:rFonts w:eastAsia="宋"/>
                <w:color w:val="auto"/>
              </w:rPr>
              <w:t>综上，项目</w:t>
            </w:r>
            <w:r>
              <w:rPr>
                <w:rFonts w:hint="eastAsia" w:eastAsia="宋"/>
                <w:color w:val="auto"/>
              </w:rPr>
              <w:t>占地将破坏植被、占压部分动物生境，施工扰动会</w:t>
            </w:r>
            <w:r>
              <w:rPr>
                <w:rFonts w:hint="eastAsia" w:ascii="宋体" w:hAnsi="宋体" w:cs="宋体"/>
                <w:color w:val="auto"/>
              </w:rPr>
              <w:t>迫使动物远离施工区，但</w:t>
            </w:r>
            <w:r>
              <w:rPr>
                <w:rFonts w:eastAsia="宋"/>
                <w:color w:val="auto"/>
              </w:rPr>
              <w:t>不会造成野生动物原有的栖息生境破坏或消失</w:t>
            </w:r>
            <w:r>
              <w:rPr>
                <w:rFonts w:hint="eastAsia" w:eastAsia="宋"/>
                <w:color w:val="auto"/>
              </w:rPr>
              <w:t>，</w:t>
            </w:r>
            <w:r>
              <w:rPr>
                <w:rFonts w:hint="eastAsia" w:ascii="宋体" w:hAnsi="宋体" w:cs="宋体"/>
                <w:color w:val="auto"/>
              </w:rPr>
              <w:t>且影响基本</w:t>
            </w:r>
            <w:r>
              <w:rPr>
                <w:rFonts w:eastAsia="宋"/>
                <w:color w:val="auto"/>
              </w:rPr>
              <w:t>随着施工期的结束</w:t>
            </w:r>
            <w:r>
              <w:rPr>
                <w:rFonts w:hint="eastAsia" w:ascii="宋体" w:hAnsi="宋体" w:cs="宋体"/>
                <w:color w:val="auto"/>
              </w:rPr>
              <w:t>而结束，施工结束后对临时占用进行植被恢复，影响进一步降低。</w:t>
            </w:r>
            <w:r>
              <w:rPr>
                <w:rFonts w:hint="eastAsia" w:ascii="宋体" w:hAnsi="宋体" w:cs="宋体"/>
                <w:color w:val="auto"/>
                <w:lang w:val="en-US" w:eastAsia="zh-CN"/>
              </w:rPr>
              <w:t>同时，</w:t>
            </w:r>
            <w:r>
              <w:rPr>
                <w:rFonts w:hint="eastAsia" w:cs="宋体"/>
                <w:bCs/>
                <w:color w:val="auto"/>
                <w:szCs w:val="21"/>
                <w:lang w:val="en-US" w:eastAsia="zh-CN"/>
              </w:rPr>
              <w:t>工程建设规模小，且管道尽量沿现状道路铺设，工程建设对生态实际影响极小。</w:t>
            </w:r>
          </w:p>
          <w:p w14:paraId="5FA69392">
            <w:pPr>
              <w:ind w:firstLine="482"/>
              <w:rPr>
                <w:b/>
                <w:bCs/>
                <w:color w:val="auto"/>
              </w:rPr>
            </w:pPr>
            <w:r>
              <w:rPr>
                <w:b/>
                <w:bCs/>
                <w:color w:val="auto"/>
              </w:rPr>
              <w:t>2、环境</w:t>
            </w:r>
            <w:r>
              <w:rPr>
                <w:rFonts w:hint="eastAsia"/>
                <w:b/>
                <w:bCs/>
                <w:color w:val="auto"/>
              </w:rPr>
              <w:t>空气</w:t>
            </w:r>
            <w:r>
              <w:rPr>
                <w:b/>
                <w:bCs/>
                <w:color w:val="auto"/>
              </w:rPr>
              <w:t>影响</w:t>
            </w:r>
          </w:p>
          <w:p w14:paraId="7E235725">
            <w:pPr>
              <w:pStyle w:val="39"/>
              <w:ind w:firstLine="482"/>
              <w:rPr>
                <w:color w:val="auto"/>
              </w:rPr>
            </w:pPr>
            <w:r>
              <w:rPr>
                <w:rFonts w:hint="eastAsia"/>
                <w:color w:val="auto"/>
              </w:rPr>
              <w:t>（1）拌和站粉尘</w:t>
            </w:r>
          </w:p>
          <w:p w14:paraId="2CD32645">
            <w:pPr>
              <w:ind w:firstLine="480"/>
              <w:rPr>
                <w:color w:val="auto"/>
              </w:rPr>
            </w:pPr>
            <w:r>
              <w:rPr>
                <w:rFonts w:hint="eastAsia"/>
                <w:color w:val="auto"/>
              </w:rPr>
              <w:t>本项目采用移动式混凝土拌合站，单个规模较小，</w:t>
            </w:r>
            <w:r>
              <w:rPr>
                <w:color w:val="auto"/>
              </w:rPr>
              <w:t>水泥、粉煤灰</w:t>
            </w:r>
            <w:r>
              <w:rPr>
                <w:rFonts w:hint="eastAsia"/>
                <w:color w:val="auto"/>
              </w:rPr>
              <w:t>等</w:t>
            </w:r>
            <w:r>
              <w:rPr>
                <w:color w:val="auto"/>
              </w:rPr>
              <w:t>实行全封闭</w:t>
            </w:r>
            <w:r>
              <w:rPr>
                <w:rFonts w:hint="eastAsia"/>
                <w:color w:val="auto"/>
              </w:rPr>
              <w:t>管理和作业，混凝土拌和站加盖作业，产生粉尘量较小。影响对象限于施工人员，并辅以洒水降尘措施后，拌和站粉尘影响较小。</w:t>
            </w:r>
          </w:p>
          <w:p w14:paraId="14783284">
            <w:pPr>
              <w:ind w:firstLine="482"/>
              <w:rPr>
                <w:b/>
                <w:bCs/>
                <w:color w:val="auto"/>
              </w:rPr>
            </w:pPr>
            <w:r>
              <w:rPr>
                <w:rFonts w:hint="eastAsia"/>
                <w:b/>
                <w:bCs/>
                <w:color w:val="auto"/>
              </w:rPr>
              <w:t>（2）施工扬尘</w:t>
            </w:r>
          </w:p>
          <w:p w14:paraId="060BC547">
            <w:pPr>
              <w:ind w:firstLine="480"/>
              <w:rPr>
                <w:color w:val="auto"/>
              </w:rPr>
            </w:pPr>
            <w:r>
              <w:rPr>
                <w:color w:val="auto"/>
              </w:rPr>
              <w:t>本项目施工过程中土方开挖回填、弃土堆放及运输、材料运输及填筑、建渣运输等环节均有施工扬尘产生，</w:t>
            </w:r>
            <w:r>
              <w:rPr>
                <w:rFonts w:hint="eastAsia"/>
                <w:color w:val="auto"/>
              </w:rPr>
              <w:t>主要污染物为</w:t>
            </w:r>
            <w:r>
              <w:rPr>
                <w:color w:val="auto"/>
              </w:rPr>
              <w:t>TSP。</w:t>
            </w:r>
          </w:p>
          <w:p w14:paraId="52DAA7A9">
            <w:pPr>
              <w:ind w:firstLine="480"/>
              <w:rPr>
                <w:color w:val="auto"/>
              </w:rPr>
            </w:pPr>
            <w:r>
              <w:rPr>
                <w:color w:val="auto"/>
              </w:rPr>
              <w:t>根据黄天健等《建筑工程土方施工阶段扬尘污染监测与分析》，在施工现场，近地面的粉尘浓度一般为1.29～6.67mg/m</w:t>
            </w:r>
            <w:r>
              <w:rPr>
                <w:color w:val="auto"/>
                <w:vertAlign w:val="superscript"/>
              </w:rPr>
              <w:t>3</w:t>
            </w:r>
            <w:r>
              <w:rPr>
                <w:color w:val="auto"/>
              </w:rPr>
              <w:t>，超过</w:t>
            </w:r>
            <w:r>
              <w:rPr>
                <w:rFonts w:hint="eastAsia"/>
                <w:color w:val="auto"/>
              </w:rPr>
              <w:t>GB3095-2026</w:t>
            </w:r>
            <w:r>
              <w:rPr>
                <w:color w:val="auto"/>
              </w:rPr>
              <w:t>二级标准中日均值300μg/m</w:t>
            </w:r>
            <w:r>
              <w:rPr>
                <w:color w:val="auto"/>
                <w:vertAlign w:val="superscript"/>
              </w:rPr>
              <w:t>3</w:t>
            </w:r>
            <w:r>
              <w:rPr>
                <w:color w:val="auto"/>
              </w:rPr>
              <w:t>；物料运输车辆在一般行车道路两侧近距离内产生的扬尘浓度可达8~10mg/m</w:t>
            </w:r>
            <w:r>
              <w:rPr>
                <w:color w:val="auto"/>
                <w:vertAlign w:val="superscript"/>
              </w:rPr>
              <w:t>3</w:t>
            </w:r>
            <w:r>
              <w:rPr>
                <w:color w:val="auto"/>
              </w:rPr>
              <w:t>，超过《环境空气质量标准》（</w:t>
            </w:r>
            <w:r>
              <w:rPr>
                <w:rFonts w:hint="eastAsia"/>
                <w:color w:val="auto"/>
              </w:rPr>
              <w:t>GB3095-2026</w:t>
            </w:r>
            <w:r>
              <w:rPr>
                <w:color w:val="auto"/>
              </w:rPr>
              <w:t>）中的二级标准要求</w:t>
            </w:r>
            <w:r>
              <w:rPr>
                <w:rFonts w:hint="eastAsia"/>
                <w:color w:val="auto"/>
              </w:rPr>
              <w:t>。</w:t>
            </w:r>
          </w:p>
          <w:p w14:paraId="6C30E952">
            <w:pPr>
              <w:ind w:firstLine="480"/>
              <w:rPr>
                <w:color w:val="auto"/>
              </w:rPr>
            </w:pPr>
            <w:r>
              <w:rPr>
                <w:rFonts w:hint="eastAsia"/>
                <w:color w:val="auto"/>
              </w:rPr>
              <w:t>施工期扬尘产生的多少及影响程度的大小与施工场地条件和天气条件等诸多因素有关，根据国内多家监测机构对施工扬尘所做的实测资料，统计结果如下表。</w:t>
            </w:r>
          </w:p>
          <w:p w14:paraId="577BF66A">
            <w:pPr>
              <w:ind w:firstLine="480"/>
              <w:rPr>
                <w:color w:val="auto"/>
              </w:rPr>
            </w:pPr>
          </w:p>
          <w:p w14:paraId="2B73D957">
            <w:pPr>
              <w:pStyle w:val="37"/>
              <w:ind w:firstLine="480"/>
              <w:rPr>
                <w:color w:val="auto"/>
              </w:rPr>
            </w:pPr>
            <w:r>
              <w:rPr>
                <w:rFonts w:hint="eastAsia"/>
                <w:color w:val="auto"/>
              </w:rPr>
              <w:t>表</w:t>
            </w:r>
            <w:r>
              <w:rPr>
                <w:color w:val="auto"/>
              </w:rPr>
              <w:fldChar w:fldCharType="begin"/>
            </w:r>
            <w:r>
              <w:rPr>
                <w:color w:val="auto"/>
              </w:rPr>
              <w:instrText xml:space="preserve"> STYLEREF 1 \s </w:instrText>
            </w:r>
            <w:r>
              <w:rPr>
                <w:color w:val="auto"/>
              </w:rPr>
              <w:fldChar w:fldCharType="separate"/>
            </w:r>
            <w:r>
              <w:rPr>
                <w:color w:val="auto"/>
              </w:rPr>
              <w:t>4</w:t>
            </w:r>
            <w:r>
              <w:rPr>
                <w:color w:val="auto"/>
              </w:rPr>
              <w:fldChar w:fldCharType="end"/>
            </w:r>
            <w:r>
              <w:rPr>
                <w:color w:val="auto"/>
              </w:rPr>
              <w:t>-</w:t>
            </w:r>
            <w:r>
              <w:rPr>
                <w:color w:val="auto"/>
              </w:rPr>
              <w:fldChar w:fldCharType="begin"/>
            </w:r>
            <w:r>
              <w:rPr>
                <w:color w:val="auto"/>
              </w:rPr>
              <w:instrText xml:space="preserve"> SEQ 表格 \* ARABIC \s 1 </w:instrText>
            </w:r>
            <w:r>
              <w:rPr>
                <w:color w:val="auto"/>
              </w:rPr>
              <w:fldChar w:fldCharType="separate"/>
            </w:r>
            <w:r>
              <w:rPr>
                <w:color w:val="auto"/>
              </w:rPr>
              <w:t>1</w:t>
            </w:r>
            <w:r>
              <w:rPr>
                <w:color w:val="auto"/>
              </w:rPr>
              <w:fldChar w:fldCharType="end"/>
            </w:r>
            <w:r>
              <w:rPr>
                <w:rFonts w:hint="eastAsia"/>
                <w:color w:val="auto"/>
              </w:rPr>
              <w:t>施工现场大气中颗粒物浓度变化表</w:t>
            </w:r>
          </w:p>
          <w:tbl>
            <w:tblPr>
              <w:tblStyle w:val="3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276"/>
              <w:gridCol w:w="708"/>
              <w:gridCol w:w="709"/>
              <w:gridCol w:w="709"/>
              <w:gridCol w:w="709"/>
              <w:gridCol w:w="709"/>
              <w:gridCol w:w="709"/>
              <w:gridCol w:w="1340"/>
            </w:tblGrid>
            <w:tr w14:paraId="74358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70" w:hRule="atLeast"/>
              </w:trPr>
              <w:tc>
                <w:tcPr>
                  <w:tcW w:w="2554" w:type="dxa"/>
                  <w:gridSpan w:val="2"/>
                  <w:vAlign w:val="center"/>
                </w:tcPr>
                <w:p w14:paraId="16659D79">
                  <w:pPr>
                    <w:pStyle w:val="35"/>
                    <w:rPr>
                      <w:color w:val="auto"/>
                      <w:szCs w:val="21"/>
                    </w:rPr>
                  </w:pPr>
                  <w:r>
                    <w:rPr>
                      <w:rFonts w:hint="eastAsia"/>
                      <w:color w:val="auto"/>
                      <w:szCs w:val="21"/>
                    </w:rPr>
                    <w:t>距工地距离</w:t>
                  </w:r>
                  <w:r>
                    <w:rPr>
                      <w:color w:val="auto"/>
                      <w:szCs w:val="21"/>
                    </w:rPr>
                    <w:t>（m）</w:t>
                  </w:r>
                </w:p>
              </w:tc>
              <w:tc>
                <w:tcPr>
                  <w:tcW w:w="708" w:type="dxa"/>
                  <w:vAlign w:val="center"/>
                </w:tcPr>
                <w:p w14:paraId="5356EDA4">
                  <w:pPr>
                    <w:pStyle w:val="35"/>
                    <w:rPr>
                      <w:color w:val="auto"/>
                      <w:szCs w:val="21"/>
                    </w:rPr>
                  </w:pPr>
                  <w:r>
                    <w:rPr>
                      <w:color w:val="auto"/>
                      <w:szCs w:val="21"/>
                    </w:rPr>
                    <w:t>10</w:t>
                  </w:r>
                </w:p>
              </w:tc>
              <w:tc>
                <w:tcPr>
                  <w:tcW w:w="709" w:type="dxa"/>
                  <w:vAlign w:val="center"/>
                </w:tcPr>
                <w:p w14:paraId="48E79FBE">
                  <w:pPr>
                    <w:pStyle w:val="35"/>
                    <w:rPr>
                      <w:color w:val="auto"/>
                      <w:szCs w:val="21"/>
                    </w:rPr>
                  </w:pPr>
                  <w:r>
                    <w:rPr>
                      <w:color w:val="auto"/>
                      <w:szCs w:val="21"/>
                    </w:rPr>
                    <w:t>20</w:t>
                  </w:r>
                </w:p>
              </w:tc>
              <w:tc>
                <w:tcPr>
                  <w:tcW w:w="709" w:type="dxa"/>
                  <w:vAlign w:val="center"/>
                </w:tcPr>
                <w:p w14:paraId="78E81CD4">
                  <w:pPr>
                    <w:pStyle w:val="35"/>
                    <w:rPr>
                      <w:color w:val="auto"/>
                      <w:szCs w:val="21"/>
                    </w:rPr>
                  </w:pPr>
                  <w:r>
                    <w:rPr>
                      <w:color w:val="auto"/>
                      <w:szCs w:val="21"/>
                    </w:rPr>
                    <w:t>30</w:t>
                  </w:r>
                </w:p>
              </w:tc>
              <w:tc>
                <w:tcPr>
                  <w:tcW w:w="709" w:type="dxa"/>
                  <w:vAlign w:val="center"/>
                </w:tcPr>
                <w:p w14:paraId="7BA6E4ED">
                  <w:pPr>
                    <w:pStyle w:val="35"/>
                    <w:rPr>
                      <w:color w:val="auto"/>
                      <w:szCs w:val="21"/>
                    </w:rPr>
                  </w:pPr>
                  <w:r>
                    <w:rPr>
                      <w:color w:val="auto"/>
                      <w:szCs w:val="21"/>
                    </w:rPr>
                    <w:t>40</w:t>
                  </w:r>
                </w:p>
              </w:tc>
              <w:tc>
                <w:tcPr>
                  <w:tcW w:w="709" w:type="dxa"/>
                  <w:vAlign w:val="center"/>
                </w:tcPr>
                <w:p w14:paraId="4CA9584D">
                  <w:pPr>
                    <w:pStyle w:val="35"/>
                    <w:rPr>
                      <w:color w:val="auto"/>
                      <w:szCs w:val="21"/>
                    </w:rPr>
                  </w:pPr>
                  <w:r>
                    <w:rPr>
                      <w:color w:val="auto"/>
                      <w:szCs w:val="21"/>
                    </w:rPr>
                    <w:t>50</w:t>
                  </w:r>
                </w:p>
              </w:tc>
              <w:tc>
                <w:tcPr>
                  <w:tcW w:w="709" w:type="dxa"/>
                  <w:vAlign w:val="center"/>
                </w:tcPr>
                <w:p w14:paraId="17AD53B9">
                  <w:pPr>
                    <w:pStyle w:val="35"/>
                    <w:rPr>
                      <w:color w:val="auto"/>
                      <w:szCs w:val="21"/>
                    </w:rPr>
                  </w:pPr>
                  <w:r>
                    <w:rPr>
                      <w:color w:val="auto"/>
                      <w:szCs w:val="21"/>
                    </w:rPr>
                    <w:t>100</w:t>
                  </w:r>
                </w:p>
              </w:tc>
              <w:tc>
                <w:tcPr>
                  <w:tcW w:w="1340" w:type="dxa"/>
                  <w:vAlign w:val="center"/>
                </w:tcPr>
                <w:p w14:paraId="6F719A33">
                  <w:pPr>
                    <w:pStyle w:val="35"/>
                    <w:rPr>
                      <w:color w:val="auto"/>
                      <w:szCs w:val="21"/>
                    </w:rPr>
                  </w:pPr>
                  <w:r>
                    <w:rPr>
                      <w:rFonts w:hint="eastAsia"/>
                      <w:color w:val="auto"/>
                      <w:szCs w:val="21"/>
                    </w:rPr>
                    <w:t>备注</w:t>
                  </w:r>
                </w:p>
              </w:tc>
            </w:tr>
            <w:tr w14:paraId="47982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8" w:type="dxa"/>
                  <w:vMerge w:val="restart"/>
                  <w:vAlign w:val="center"/>
                </w:tcPr>
                <w:p w14:paraId="4488B0D7">
                  <w:pPr>
                    <w:pStyle w:val="35"/>
                    <w:rPr>
                      <w:color w:val="auto"/>
                      <w:szCs w:val="21"/>
                    </w:rPr>
                  </w:pPr>
                  <w:r>
                    <w:rPr>
                      <w:rFonts w:hint="eastAsia"/>
                      <w:color w:val="auto"/>
                      <w:szCs w:val="21"/>
                    </w:rPr>
                    <w:t>浓度</w:t>
                  </w:r>
                </w:p>
                <w:p w14:paraId="4AF4F79B">
                  <w:pPr>
                    <w:pStyle w:val="35"/>
                    <w:rPr>
                      <w:color w:val="auto"/>
                      <w:szCs w:val="21"/>
                    </w:rPr>
                  </w:pPr>
                  <w:r>
                    <w:rPr>
                      <w:color w:val="auto"/>
                      <w:szCs w:val="21"/>
                    </w:rPr>
                    <w:t>（mg/m</w:t>
                  </w:r>
                  <w:r>
                    <w:rPr>
                      <w:color w:val="auto"/>
                      <w:szCs w:val="21"/>
                      <w:vertAlign w:val="superscript"/>
                    </w:rPr>
                    <w:t>3</w:t>
                  </w:r>
                  <w:r>
                    <w:rPr>
                      <w:color w:val="auto"/>
                      <w:szCs w:val="21"/>
                    </w:rPr>
                    <w:t>）</w:t>
                  </w:r>
                </w:p>
              </w:tc>
              <w:tc>
                <w:tcPr>
                  <w:tcW w:w="1276" w:type="dxa"/>
                  <w:vAlign w:val="center"/>
                </w:tcPr>
                <w:p w14:paraId="32CBC46F">
                  <w:pPr>
                    <w:pStyle w:val="35"/>
                    <w:rPr>
                      <w:color w:val="auto"/>
                      <w:szCs w:val="21"/>
                    </w:rPr>
                  </w:pPr>
                  <w:r>
                    <w:rPr>
                      <w:rFonts w:hint="eastAsia"/>
                      <w:color w:val="auto"/>
                      <w:szCs w:val="21"/>
                    </w:rPr>
                    <w:t>场地未洒水</w:t>
                  </w:r>
                </w:p>
              </w:tc>
              <w:tc>
                <w:tcPr>
                  <w:tcW w:w="708" w:type="dxa"/>
                  <w:vAlign w:val="center"/>
                </w:tcPr>
                <w:p w14:paraId="4E3BA8F8">
                  <w:pPr>
                    <w:pStyle w:val="35"/>
                    <w:rPr>
                      <w:color w:val="auto"/>
                      <w:szCs w:val="21"/>
                    </w:rPr>
                  </w:pPr>
                  <w:r>
                    <w:rPr>
                      <w:color w:val="auto"/>
                      <w:szCs w:val="21"/>
                    </w:rPr>
                    <w:t>1.75</w:t>
                  </w:r>
                </w:p>
              </w:tc>
              <w:tc>
                <w:tcPr>
                  <w:tcW w:w="709" w:type="dxa"/>
                  <w:vAlign w:val="center"/>
                </w:tcPr>
                <w:p w14:paraId="61CE1958">
                  <w:pPr>
                    <w:pStyle w:val="35"/>
                    <w:rPr>
                      <w:color w:val="auto"/>
                      <w:szCs w:val="21"/>
                    </w:rPr>
                  </w:pPr>
                  <w:r>
                    <w:rPr>
                      <w:color w:val="auto"/>
                      <w:szCs w:val="21"/>
                    </w:rPr>
                    <w:t>l.30</w:t>
                  </w:r>
                </w:p>
              </w:tc>
              <w:tc>
                <w:tcPr>
                  <w:tcW w:w="709" w:type="dxa"/>
                  <w:vAlign w:val="center"/>
                </w:tcPr>
                <w:p w14:paraId="3AAF2A59">
                  <w:pPr>
                    <w:pStyle w:val="35"/>
                    <w:rPr>
                      <w:color w:val="auto"/>
                      <w:szCs w:val="21"/>
                    </w:rPr>
                  </w:pPr>
                  <w:r>
                    <w:rPr>
                      <w:color w:val="auto"/>
                      <w:szCs w:val="21"/>
                    </w:rPr>
                    <w:t>0.78</w:t>
                  </w:r>
                </w:p>
              </w:tc>
              <w:tc>
                <w:tcPr>
                  <w:tcW w:w="709" w:type="dxa"/>
                  <w:vAlign w:val="center"/>
                </w:tcPr>
                <w:p w14:paraId="6CF868F4">
                  <w:pPr>
                    <w:pStyle w:val="35"/>
                    <w:rPr>
                      <w:color w:val="auto"/>
                      <w:szCs w:val="21"/>
                    </w:rPr>
                  </w:pPr>
                  <w:r>
                    <w:rPr>
                      <w:color w:val="auto"/>
                      <w:szCs w:val="21"/>
                    </w:rPr>
                    <w:t>0.365</w:t>
                  </w:r>
                </w:p>
              </w:tc>
              <w:tc>
                <w:tcPr>
                  <w:tcW w:w="709" w:type="dxa"/>
                  <w:vAlign w:val="center"/>
                </w:tcPr>
                <w:p w14:paraId="10DF4391">
                  <w:pPr>
                    <w:pStyle w:val="35"/>
                    <w:rPr>
                      <w:color w:val="auto"/>
                      <w:szCs w:val="21"/>
                    </w:rPr>
                  </w:pPr>
                  <w:r>
                    <w:rPr>
                      <w:color w:val="auto"/>
                      <w:szCs w:val="21"/>
                    </w:rPr>
                    <w:t>0.345</w:t>
                  </w:r>
                </w:p>
              </w:tc>
              <w:tc>
                <w:tcPr>
                  <w:tcW w:w="709" w:type="dxa"/>
                  <w:vAlign w:val="center"/>
                </w:tcPr>
                <w:p w14:paraId="602FCCF1">
                  <w:pPr>
                    <w:pStyle w:val="35"/>
                    <w:rPr>
                      <w:color w:val="auto"/>
                      <w:szCs w:val="21"/>
                    </w:rPr>
                  </w:pPr>
                  <w:r>
                    <w:rPr>
                      <w:color w:val="auto"/>
                      <w:szCs w:val="21"/>
                    </w:rPr>
                    <w:t>0.330</w:t>
                  </w:r>
                </w:p>
              </w:tc>
              <w:tc>
                <w:tcPr>
                  <w:tcW w:w="1340" w:type="dxa"/>
                  <w:vMerge w:val="restart"/>
                  <w:vAlign w:val="center"/>
                </w:tcPr>
                <w:p w14:paraId="24D62D64">
                  <w:pPr>
                    <w:pStyle w:val="35"/>
                    <w:rPr>
                      <w:color w:val="auto"/>
                      <w:szCs w:val="21"/>
                    </w:rPr>
                  </w:pPr>
                  <w:r>
                    <w:rPr>
                      <w:rFonts w:hint="eastAsia"/>
                      <w:color w:val="auto"/>
                      <w:szCs w:val="21"/>
                    </w:rPr>
                    <w:t>测量平均风速</w:t>
                  </w:r>
                  <w:r>
                    <w:rPr>
                      <w:color w:val="auto"/>
                      <w:szCs w:val="21"/>
                    </w:rPr>
                    <w:t>2.5m/s</w:t>
                  </w:r>
                </w:p>
              </w:tc>
            </w:tr>
            <w:tr w14:paraId="7EAB46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78" w:type="dxa"/>
                  <w:vMerge w:val="continue"/>
                  <w:vAlign w:val="center"/>
                </w:tcPr>
                <w:p w14:paraId="33482273">
                  <w:pPr>
                    <w:pStyle w:val="35"/>
                    <w:ind w:firstLine="480"/>
                    <w:rPr>
                      <w:color w:val="auto"/>
                      <w:szCs w:val="21"/>
                    </w:rPr>
                  </w:pPr>
                </w:p>
              </w:tc>
              <w:tc>
                <w:tcPr>
                  <w:tcW w:w="1276" w:type="dxa"/>
                  <w:vAlign w:val="center"/>
                </w:tcPr>
                <w:p w14:paraId="715E72E9">
                  <w:pPr>
                    <w:pStyle w:val="35"/>
                    <w:rPr>
                      <w:color w:val="auto"/>
                      <w:szCs w:val="21"/>
                    </w:rPr>
                  </w:pPr>
                  <w:r>
                    <w:rPr>
                      <w:rFonts w:hint="eastAsia"/>
                      <w:color w:val="auto"/>
                      <w:szCs w:val="21"/>
                    </w:rPr>
                    <w:t>场地洒水</w:t>
                  </w:r>
                </w:p>
              </w:tc>
              <w:tc>
                <w:tcPr>
                  <w:tcW w:w="708" w:type="dxa"/>
                  <w:vAlign w:val="center"/>
                </w:tcPr>
                <w:p w14:paraId="4F6B4C61">
                  <w:pPr>
                    <w:pStyle w:val="35"/>
                    <w:rPr>
                      <w:color w:val="auto"/>
                      <w:szCs w:val="21"/>
                    </w:rPr>
                  </w:pPr>
                  <w:r>
                    <w:rPr>
                      <w:color w:val="auto"/>
                      <w:szCs w:val="21"/>
                    </w:rPr>
                    <w:t>0.437</w:t>
                  </w:r>
                </w:p>
              </w:tc>
              <w:tc>
                <w:tcPr>
                  <w:tcW w:w="709" w:type="dxa"/>
                  <w:vAlign w:val="center"/>
                </w:tcPr>
                <w:p w14:paraId="625E0944">
                  <w:pPr>
                    <w:pStyle w:val="35"/>
                    <w:rPr>
                      <w:color w:val="auto"/>
                      <w:szCs w:val="21"/>
                    </w:rPr>
                  </w:pPr>
                  <w:r>
                    <w:rPr>
                      <w:color w:val="auto"/>
                      <w:szCs w:val="21"/>
                    </w:rPr>
                    <w:t>0.350</w:t>
                  </w:r>
                </w:p>
              </w:tc>
              <w:tc>
                <w:tcPr>
                  <w:tcW w:w="709" w:type="dxa"/>
                  <w:vAlign w:val="center"/>
                </w:tcPr>
                <w:p w14:paraId="4C966259">
                  <w:pPr>
                    <w:pStyle w:val="35"/>
                    <w:rPr>
                      <w:color w:val="auto"/>
                      <w:szCs w:val="21"/>
                    </w:rPr>
                  </w:pPr>
                  <w:r>
                    <w:rPr>
                      <w:color w:val="auto"/>
                      <w:szCs w:val="21"/>
                    </w:rPr>
                    <w:t>0.310</w:t>
                  </w:r>
                </w:p>
              </w:tc>
              <w:tc>
                <w:tcPr>
                  <w:tcW w:w="709" w:type="dxa"/>
                  <w:vAlign w:val="center"/>
                </w:tcPr>
                <w:p w14:paraId="4047D8B5">
                  <w:pPr>
                    <w:pStyle w:val="35"/>
                    <w:rPr>
                      <w:color w:val="auto"/>
                      <w:szCs w:val="21"/>
                    </w:rPr>
                  </w:pPr>
                  <w:r>
                    <w:rPr>
                      <w:color w:val="auto"/>
                      <w:szCs w:val="21"/>
                    </w:rPr>
                    <w:t>0.265</w:t>
                  </w:r>
                </w:p>
              </w:tc>
              <w:tc>
                <w:tcPr>
                  <w:tcW w:w="709" w:type="dxa"/>
                  <w:vAlign w:val="center"/>
                </w:tcPr>
                <w:p w14:paraId="1F517292">
                  <w:pPr>
                    <w:pStyle w:val="35"/>
                    <w:rPr>
                      <w:color w:val="auto"/>
                      <w:szCs w:val="21"/>
                    </w:rPr>
                  </w:pPr>
                  <w:r>
                    <w:rPr>
                      <w:color w:val="auto"/>
                      <w:szCs w:val="21"/>
                    </w:rPr>
                    <w:t>0.250</w:t>
                  </w:r>
                </w:p>
              </w:tc>
              <w:tc>
                <w:tcPr>
                  <w:tcW w:w="709" w:type="dxa"/>
                  <w:vAlign w:val="center"/>
                </w:tcPr>
                <w:p w14:paraId="12A50436">
                  <w:pPr>
                    <w:pStyle w:val="35"/>
                    <w:rPr>
                      <w:color w:val="auto"/>
                      <w:szCs w:val="21"/>
                    </w:rPr>
                  </w:pPr>
                  <w:r>
                    <w:rPr>
                      <w:color w:val="auto"/>
                      <w:szCs w:val="21"/>
                    </w:rPr>
                    <w:t>0.238</w:t>
                  </w:r>
                </w:p>
              </w:tc>
              <w:tc>
                <w:tcPr>
                  <w:tcW w:w="1340" w:type="dxa"/>
                  <w:vMerge w:val="continue"/>
                  <w:vAlign w:val="center"/>
                </w:tcPr>
                <w:p w14:paraId="5F9F55CB">
                  <w:pPr>
                    <w:pStyle w:val="35"/>
                    <w:ind w:firstLine="480"/>
                    <w:rPr>
                      <w:color w:val="auto"/>
                      <w:szCs w:val="21"/>
                    </w:rPr>
                  </w:pPr>
                </w:p>
              </w:tc>
            </w:tr>
          </w:tbl>
          <w:p w14:paraId="35966941">
            <w:pPr>
              <w:ind w:firstLine="480"/>
              <w:rPr>
                <w:color w:val="auto"/>
              </w:rPr>
            </w:pPr>
          </w:p>
          <w:p w14:paraId="0BB12398">
            <w:pPr>
              <w:ind w:firstLine="480"/>
              <w:rPr>
                <w:color w:val="auto"/>
              </w:rPr>
            </w:pPr>
            <w:r>
              <w:rPr>
                <w:rFonts w:hint="eastAsia"/>
                <w:color w:val="auto"/>
              </w:rPr>
              <w:t>由上表可知，在场地未洒水时施工扬尘影响范围可达施工场地外</w:t>
            </w:r>
            <w:r>
              <w:rPr>
                <w:color w:val="auto"/>
              </w:rPr>
              <w:t>100m</w:t>
            </w:r>
            <w:r>
              <w:rPr>
                <w:rFonts w:hint="eastAsia"/>
                <w:color w:val="auto"/>
              </w:rPr>
              <w:t>；但通过场地洒水降尘后，施工扬尘影响范围将缩小至施工场地外</w:t>
            </w:r>
            <w:r>
              <w:rPr>
                <w:color w:val="auto"/>
              </w:rPr>
              <w:t>40m</w:t>
            </w:r>
            <w:r>
              <w:rPr>
                <w:rFonts w:hint="eastAsia"/>
                <w:color w:val="auto"/>
              </w:rPr>
              <w:t>。</w:t>
            </w:r>
          </w:p>
          <w:p w14:paraId="1B773318">
            <w:pPr>
              <w:ind w:firstLine="480"/>
              <w:rPr>
                <w:color w:val="auto"/>
              </w:rPr>
            </w:pPr>
            <w:r>
              <w:rPr>
                <w:rFonts w:hint="eastAsia"/>
                <w:color w:val="auto"/>
              </w:rPr>
              <w:t>因此本项目设置的3个临时生产生活区场地周边50m范围内无居民点，施工扬尘可能对管线周边40m范围内的居民有一定的影响，但施工期大气环境的影响是暂时的，随施工的结束而结束。本次环评要求施工方文明施工，建材和渣土运输要尽量减少撒漏，及时清理，适时洒水降尘，减少施工扬尘对周边环境空气质量的影响。</w:t>
            </w:r>
          </w:p>
          <w:p w14:paraId="05973565">
            <w:pPr>
              <w:ind w:firstLine="482"/>
              <w:rPr>
                <w:b/>
                <w:bCs/>
                <w:color w:val="auto"/>
              </w:rPr>
            </w:pPr>
            <w:r>
              <w:rPr>
                <w:rFonts w:hint="eastAsia"/>
                <w:b/>
                <w:bCs/>
                <w:color w:val="auto"/>
              </w:rPr>
              <w:t>（3）施工机械燃油废气</w:t>
            </w:r>
          </w:p>
          <w:p w14:paraId="199166DE">
            <w:pPr>
              <w:ind w:firstLine="480"/>
              <w:rPr>
                <w:color w:val="auto"/>
              </w:rPr>
            </w:pPr>
            <w:r>
              <w:rPr>
                <w:color w:val="auto"/>
              </w:rPr>
              <w:t>施工过程中车辆及施工机械产生的尾气主要含CO、THC、NO</w:t>
            </w:r>
            <w:r>
              <w:rPr>
                <w:color w:val="auto"/>
                <w:vertAlign w:val="subscript"/>
              </w:rPr>
              <w:t>2</w:t>
            </w:r>
            <w:r>
              <w:rPr>
                <w:color w:val="auto"/>
              </w:rPr>
              <w:t>等污染物</w:t>
            </w:r>
            <w:r>
              <w:rPr>
                <w:rFonts w:hint="eastAsia"/>
                <w:color w:val="auto"/>
              </w:rPr>
              <w:t>，其特点是产生量较小，属间歇式、分散式排放。经扩散后对周围环境影响很小。</w:t>
            </w:r>
          </w:p>
          <w:p w14:paraId="46372095">
            <w:pPr>
              <w:ind w:firstLine="482"/>
              <w:rPr>
                <w:b/>
                <w:bCs/>
                <w:color w:val="auto"/>
              </w:rPr>
            </w:pPr>
            <w:r>
              <w:rPr>
                <w:b/>
                <w:bCs/>
                <w:color w:val="auto"/>
              </w:rPr>
              <w:t>3、</w:t>
            </w:r>
            <w:r>
              <w:rPr>
                <w:rFonts w:hint="eastAsia"/>
                <w:b/>
                <w:bCs/>
                <w:color w:val="auto"/>
              </w:rPr>
              <w:t>水环境</w:t>
            </w:r>
            <w:r>
              <w:rPr>
                <w:b/>
                <w:bCs/>
                <w:color w:val="auto"/>
              </w:rPr>
              <w:t>影响分析</w:t>
            </w:r>
          </w:p>
          <w:p w14:paraId="4BE9D78F">
            <w:pPr>
              <w:ind w:firstLine="480"/>
              <w:rPr>
                <w:color w:val="auto"/>
              </w:rPr>
            </w:pPr>
            <w:r>
              <w:rPr>
                <w:rFonts w:hint="eastAsia"/>
                <w:color w:val="auto"/>
              </w:rPr>
              <w:t>（</w:t>
            </w:r>
            <w:r>
              <w:rPr>
                <w:color w:val="auto"/>
              </w:rPr>
              <w:t>1</w:t>
            </w:r>
            <w:r>
              <w:rPr>
                <w:rFonts w:hint="eastAsia"/>
                <w:color w:val="auto"/>
              </w:rPr>
              <w:t>）</w:t>
            </w:r>
            <w:r>
              <w:rPr>
                <w:color w:val="auto"/>
              </w:rPr>
              <w:t>生活污水</w:t>
            </w:r>
          </w:p>
          <w:p w14:paraId="64FF6436">
            <w:pPr>
              <w:ind w:firstLine="480"/>
              <w:rPr>
                <w:color w:val="auto"/>
              </w:rPr>
            </w:pPr>
            <w:r>
              <w:rPr>
                <w:rFonts w:hint="eastAsia"/>
                <w:color w:val="auto"/>
              </w:rPr>
              <w:t>施工期间工地不设宿舍、食堂，施工人员租用当地民房，且就近在餐馆就餐。</w:t>
            </w:r>
            <w:r>
              <w:rPr>
                <w:color w:val="auto"/>
              </w:rPr>
              <w:t>施工高峰期间施工人员及工地管理人员共约</w:t>
            </w:r>
            <w:r>
              <w:rPr>
                <w:rFonts w:hint="eastAsia"/>
                <w:color w:val="auto"/>
              </w:rPr>
              <w:t>50</w:t>
            </w:r>
            <w:r>
              <w:rPr>
                <w:color w:val="auto"/>
              </w:rPr>
              <w:t>人，根据《四川省用水定额》</w:t>
            </w:r>
            <w:r>
              <w:rPr>
                <w:rFonts w:hint="eastAsia"/>
                <w:color w:val="auto"/>
              </w:rPr>
              <w:t>（</w:t>
            </w:r>
            <w:r>
              <w:rPr>
                <w:color w:val="auto"/>
              </w:rPr>
              <w:t>川府函〔2021〕8号</w:t>
            </w:r>
            <w:r>
              <w:rPr>
                <w:rFonts w:hint="eastAsia"/>
                <w:color w:val="auto"/>
              </w:rPr>
              <w:t>）</w:t>
            </w:r>
            <w:r>
              <w:rPr>
                <w:color w:val="auto"/>
              </w:rPr>
              <w:t>表5农村居民生活用水定额表</w:t>
            </w:r>
            <w:r>
              <w:rPr>
                <w:rFonts w:hint="eastAsia"/>
                <w:color w:val="auto"/>
              </w:rPr>
              <w:t>：</w:t>
            </w:r>
            <w:r>
              <w:rPr>
                <w:color w:val="auto"/>
              </w:rPr>
              <w:t>东部盆地区生活用水定额130L/人·d计算，用水量为</w:t>
            </w:r>
            <w:r>
              <w:rPr>
                <w:rFonts w:hint="eastAsia"/>
                <w:color w:val="auto"/>
              </w:rPr>
              <w:t>6.5</w:t>
            </w:r>
            <w:r>
              <w:rPr>
                <w:color w:val="auto"/>
              </w:rPr>
              <w:t>m</w:t>
            </w:r>
            <w:r>
              <w:rPr>
                <w:color w:val="auto"/>
                <w:vertAlign w:val="superscript"/>
              </w:rPr>
              <w:t>3</w:t>
            </w:r>
            <w:r>
              <w:rPr>
                <w:color w:val="auto"/>
              </w:rPr>
              <w:t>/d，生活污水排放系数按0.8计，项目施工期生活污水产生量为</w:t>
            </w:r>
            <w:r>
              <w:rPr>
                <w:rFonts w:hint="eastAsia"/>
                <w:color w:val="auto"/>
              </w:rPr>
              <w:t>5.2</w:t>
            </w:r>
            <w:r>
              <w:rPr>
                <w:color w:val="auto"/>
              </w:rPr>
              <w:t>m</w:t>
            </w:r>
            <w:r>
              <w:rPr>
                <w:color w:val="auto"/>
                <w:vertAlign w:val="superscript"/>
              </w:rPr>
              <w:t>3</w:t>
            </w:r>
            <w:r>
              <w:rPr>
                <w:color w:val="auto"/>
              </w:rPr>
              <w:t>/d。</w:t>
            </w:r>
          </w:p>
          <w:p w14:paraId="34B44E99">
            <w:pPr>
              <w:ind w:firstLine="480"/>
              <w:rPr>
                <w:color w:val="auto"/>
              </w:rPr>
            </w:pPr>
            <w:r>
              <w:rPr>
                <w:color w:val="auto"/>
              </w:rPr>
              <w:t>防治措施</w:t>
            </w:r>
            <w:r>
              <w:rPr>
                <w:rFonts w:hint="eastAsia"/>
                <w:color w:val="auto"/>
              </w:rPr>
              <w:t>：</w:t>
            </w:r>
            <w:r>
              <w:rPr>
                <w:color w:val="auto"/>
              </w:rPr>
              <w:t>生活污水通过租用民房既有的生活污水处理设施收集处理后用作于附近农林地肥用，不外排。</w:t>
            </w:r>
          </w:p>
          <w:p w14:paraId="04381B67">
            <w:pPr>
              <w:ind w:firstLine="480"/>
              <w:rPr>
                <w:color w:val="auto"/>
              </w:rPr>
            </w:pPr>
            <w:r>
              <w:rPr>
                <w:rFonts w:hint="eastAsia"/>
                <w:color w:val="auto"/>
              </w:rPr>
              <w:t>（</w:t>
            </w:r>
            <w:r>
              <w:rPr>
                <w:color w:val="auto"/>
              </w:rPr>
              <w:t>2</w:t>
            </w:r>
            <w:r>
              <w:rPr>
                <w:rFonts w:hint="eastAsia"/>
                <w:color w:val="auto"/>
              </w:rPr>
              <w:t>）</w:t>
            </w:r>
            <w:r>
              <w:rPr>
                <w:color w:val="auto"/>
              </w:rPr>
              <w:t>施工废水</w:t>
            </w:r>
          </w:p>
          <w:p w14:paraId="7D275A87">
            <w:pPr>
              <w:adjustRightInd w:val="0"/>
              <w:snapToGrid w:val="0"/>
              <w:ind w:firstLine="480"/>
              <w:rPr>
                <w:rFonts w:cs="宋体"/>
                <w:bCs/>
                <w:color w:val="auto"/>
                <w:szCs w:val="21"/>
              </w:rPr>
            </w:pPr>
            <w:r>
              <w:rPr>
                <w:color w:val="auto"/>
                <w:kern w:val="0"/>
              </w:rPr>
              <w:t>施工废水主要来自</w:t>
            </w:r>
            <w:r>
              <w:rPr>
                <w:rFonts w:hint="eastAsia"/>
                <w:color w:val="auto"/>
                <w:kern w:val="0"/>
              </w:rPr>
              <w:t>混凝土拌合废水，主要污染物为pH、SS等；设备车辆</w:t>
            </w:r>
            <w:r>
              <w:rPr>
                <w:color w:val="auto"/>
                <w:kern w:val="0"/>
              </w:rPr>
              <w:t>冲洗</w:t>
            </w:r>
            <w:r>
              <w:rPr>
                <w:rFonts w:hint="eastAsia"/>
                <w:color w:val="auto"/>
                <w:kern w:val="0"/>
              </w:rPr>
              <w:t>废，主要污染物为pH、SS、石油类等；混凝土</w:t>
            </w:r>
            <w:r>
              <w:rPr>
                <w:color w:val="auto"/>
                <w:kern w:val="0"/>
              </w:rPr>
              <w:t>养护排水，污染物以</w:t>
            </w:r>
            <w:r>
              <w:rPr>
                <w:rFonts w:hint="eastAsia"/>
                <w:color w:val="auto"/>
                <w:kern w:val="0"/>
              </w:rPr>
              <w:t>pH、</w:t>
            </w:r>
            <w:r>
              <w:rPr>
                <w:color w:val="auto"/>
                <w:kern w:val="0"/>
              </w:rPr>
              <w:t>SS、</w:t>
            </w:r>
            <w:r>
              <w:rPr>
                <w:rFonts w:hint="eastAsia"/>
                <w:color w:val="auto"/>
                <w:kern w:val="0"/>
              </w:rPr>
              <w:t>等。施工废水</w:t>
            </w:r>
            <w:r>
              <w:rPr>
                <w:rFonts w:cs="宋体"/>
                <w:bCs/>
                <w:color w:val="auto"/>
                <w:szCs w:val="21"/>
              </w:rPr>
              <w:t>具有施工点分散、废水量小、线路工程临时性强、产生时段不连续等特点，水环境保护重点在于施工废水规范收集、处理，</w:t>
            </w:r>
            <w:r>
              <w:rPr>
                <w:rFonts w:hint="eastAsia" w:cs="宋体"/>
                <w:bCs/>
                <w:color w:val="auto"/>
                <w:szCs w:val="21"/>
              </w:rPr>
              <w:t>废水经处理后</w:t>
            </w:r>
            <w:r>
              <w:rPr>
                <w:rFonts w:cs="宋体"/>
                <w:bCs/>
                <w:color w:val="auto"/>
                <w:szCs w:val="21"/>
              </w:rPr>
              <w:t>回用</w:t>
            </w:r>
            <w:r>
              <w:rPr>
                <w:rFonts w:hint="eastAsia" w:cs="宋体"/>
                <w:bCs/>
                <w:color w:val="auto"/>
                <w:szCs w:val="21"/>
              </w:rPr>
              <w:t>于施工场地洒水降尘</w:t>
            </w:r>
            <w:r>
              <w:rPr>
                <w:rFonts w:cs="宋体"/>
                <w:bCs/>
                <w:color w:val="auto"/>
                <w:szCs w:val="21"/>
              </w:rPr>
              <w:t>不外排</w:t>
            </w:r>
            <w:r>
              <w:rPr>
                <w:rFonts w:hint="eastAsia" w:cs="宋体"/>
                <w:bCs/>
                <w:color w:val="auto"/>
                <w:szCs w:val="21"/>
              </w:rPr>
              <w:t>，避免因不规范收集排入地表水体造成污染。</w:t>
            </w:r>
          </w:p>
          <w:p w14:paraId="7689D0A6">
            <w:pPr>
              <w:autoSpaceDE/>
              <w:autoSpaceDN/>
              <w:ind w:firstLine="482"/>
              <w:rPr>
                <w:rFonts w:eastAsia="宋,Bold"/>
                <w:b/>
                <w:color w:val="auto"/>
              </w:rPr>
            </w:pPr>
            <w:r>
              <w:rPr>
                <w:rFonts w:eastAsia="TimesNewRomanPS-BoldMT"/>
                <w:b/>
                <w:color w:val="auto"/>
              </w:rPr>
              <w:t>4、</w:t>
            </w:r>
            <w:r>
              <w:rPr>
                <w:rFonts w:eastAsia="宋,Bold"/>
                <w:b/>
                <w:color w:val="auto"/>
              </w:rPr>
              <w:t>噪声环境影响分析</w:t>
            </w:r>
          </w:p>
          <w:p w14:paraId="571A9979">
            <w:pPr>
              <w:adjustRightInd w:val="0"/>
              <w:snapToGrid w:val="0"/>
              <w:ind w:firstLine="480"/>
              <w:rPr>
                <w:rFonts w:cs="宋体"/>
                <w:bCs/>
                <w:color w:val="auto"/>
                <w:szCs w:val="21"/>
              </w:rPr>
            </w:pPr>
            <w:r>
              <w:rPr>
                <w:rFonts w:hint="eastAsia" w:cs="宋体"/>
                <w:bCs/>
                <w:color w:val="auto"/>
                <w:szCs w:val="21"/>
              </w:rPr>
              <w:t>工程在施工期的主要噪声源有挖掘机、</w:t>
            </w:r>
            <w:r>
              <w:rPr>
                <w:rFonts w:cs="宋体"/>
                <w:bCs/>
                <w:color w:val="auto"/>
                <w:szCs w:val="21"/>
              </w:rPr>
              <w:t>打夯机</w:t>
            </w:r>
            <w:r>
              <w:rPr>
                <w:rFonts w:hint="eastAsia" w:cs="宋体"/>
                <w:bCs/>
                <w:color w:val="auto"/>
                <w:szCs w:val="21"/>
              </w:rPr>
              <w:t>、</w:t>
            </w:r>
            <w:r>
              <w:rPr>
                <w:rFonts w:cs="宋体"/>
                <w:bCs/>
                <w:color w:val="auto"/>
                <w:szCs w:val="21"/>
              </w:rPr>
              <w:t>起重机</w:t>
            </w:r>
            <w:r>
              <w:rPr>
                <w:rFonts w:hint="eastAsia" w:cs="宋体"/>
                <w:bCs/>
                <w:color w:val="auto"/>
                <w:szCs w:val="21"/>
              </w:rPr>
              <w:t>、</w:t>
            </w:r>
            <w:r>
              <w:rPr>
                <w:rFonts w:cs="宋体"/>
                <w:bCs/>
                <w:color w:val="auto"/>
                <w:szCs w:val="21"/>
              </w:rPr>
              <w:t>砂浆搅拌机</w:t>
            </w:r>
            <w:r>
              <w:rPr>
                <w:rFonts w:hint="eastAsia" w:cs="宋体"/>
                <w:bCs/>
                <w:color w:val="auto"/>
                <w:szCs w:val="21"/>
              </w:rPr>
              <w:t>、混凝土振捣器等，这些施工设备运行时会产生一定的噪声。参考《环境噪声与振动控制工程技术导则》（HJ2034-2013）及同类项目相关资料，结合本项目特点，线路施工常见施工设备噪声源声压级见下表。</w:t>
            </w:r>
          </w:p>
          <w:p w14:paraId="327E8EC6">
            <w:pPr>
              <w:pStyle w:val="37"/>
              <w:ind w:firstLine="480"/>
              <w:rPr>
                <w:color w:val="auto"/>
              </w:rPr>
            </w:pPr>
            <w:r>
              <w:rPr>
                <w:rFonts w:hint="eastAsia"/>
                <w:color w:val="auto"/>
              </w:rPr>
              <w:t>表</w:t>
            </w:r>
            <w:r>
              <w:rPr>
                <w:color w:val="auto"/>
              </w:rPr>
              <w:t>4-</w:t>
            </w:r>
            <w:r>
              <w:rPr>
                <w:rFonts w:hint="eastAsia"/>
                <w:color w:val="auto"/>
              </w:rPr>
              <w:t>2  线路工程</w:t>
            </w:r>
            <w:r>
              <w:rPr>
                <w:color w:val="auto"/>
              </w:rPr>
              <w:t>施工期主要噪声源源强一览表</w:t>
            </w:r>
          </w:p>
          <w:tbl>
            <w:tblPr>
              <w:tblStyle w:val="41"/>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615"/>
              <w:gridCol w:w="4404"/>
            </w:tblGrid>
            <w:tr w14:paraId="3EA0A7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trPr>
              <w:tc>
                <w:tcPr>
                  <w:tcW w:w="1128" w:type="dxa"/>
                  <w:vAlign w:val="center"/>
                </w:tcPr>
                <w:p w14:paraId="3C381746">
                  <w:pPr>
                    <w:snapToGrid w:val="0"/>
                    <w:spacing w:line="240" w:lineRule="auto"/>
                    <w:ind w:firstLine="0" w:firstLineChars="0"/>
                    <w:jc w:val="center"/>
                    <w:rPr>
                      <w:rFonts w:ascii="Times New Roman" w:hAnsi="Times New Roman"/>
                      <w:b/>
                      <w:bCs/>
                      <w:color w:val="auto"/>
                      <w:sz w:val="21"/>
                      <w:szCs w:val="18"/>
                    </w:rPr>
                  </w:pPr>
                  <w:r>
                    <w:rPr>
                      <w:rFonts w:hint="eastAsia" w:ascii="Calibri" w:hAnsi="Calibri"/>
                      <w:b/>
                      <w:bCs/>
                      <w:color w:val="auto"/>
                      <w:sz w:val="21"/>
                      <w:szCs w:val="18"/>
                    </w:rPr>
                    <w:t>序号</w:t>
                  </w:r>
                </w:p>
              </w:tc>
              <w:tc>
                <w:tcPr>
                  <w:tcW w:w="2615" w:type="dxa"/>
                  <w:vAlign w:val="center"/>
                </w:tcPr>
                <w:p w14:paraId="42DCFA1C">
                  <w:pPr>
                    <w:snapToGrid w:val="0"/>
                    <w:spacing w:line="240" w:lineRule="auto"/>
                    <w:ind w:firstLine="0" w:firstLineChars="0"/>
                    <w:jc w:val="center"/>
                    <w:rPr>
                      <w:rFonts w:ascii="Times New Roman" w:hAnsi="Times New Roman"/>
                      <w:b/>
                      <w:bCs/>
                      <w:color w:val="auto"/>
                      <w:sz w:val="21"/>
                      <w:szCs w:val="18"/>
                    </w:rPr>
                  </w:pPr>
                  <w:r>
                    <w:rPr>
                      <w:rFonts w:hint="eastAsia" w:ascii="Calibri" w:hAnsi="Calibri"/>
                      <w:b/>
                      <w:bCs/>
                      <w:color w:val="auto"/>
                      <w:sz w:val="21"/>
                      <w:szCs w:val="18"/>
                    </w:rPr>
                    <w:t>施工设备</w:t>
                  </w:r>
                </w:p>
              </w:tc>
              <w:tc>
                <w:tcPr>
                  <w:tcW w:w="4404" w:type="dxa"/>
                  <w:vAlign w:val="center"/>
                </w:tcPr>
                <w:p w14:paraId="3273E248">
                  <w:pPr>
                    <w:snapToGrid w:val="0"/>
                    <w:spacing w:line="240" w:lineRule="auto"/>
                    <w:ind w:firstLine="0" w:firstLineChars="0"/>
                    <w:jc w:val="center"/>
                    <w:rPr>
                      <w:rFonts w:ascii="Times New Roman" w:hAnsi="Times New Roman"/>
                      <w:b/>
                      <w:bCs/>
                      <w:color w:val="auto"/>
                      <w:sz w:val="21"/>
                      <w:szCs w:val="18"/>
                    </w:rPr>
                  </w:pPr>
                  <w:r>
                    <w:rPr>
                      <w:rFonts w:hint="eastAsia" w:ascii="Calibri" w:hAnsi="Calibri"/>
                      <w:b/>
                      <w:bCs/>
                      <w:color w:val="auto"/>
                      <w:sz w:val="21"/>
                      <w:szCs w:val="18"/>
                    </w:rPr>
                    <w:t>声压级</w:t>
                  </w:r>
                </w:p>
                <w:p w14:paraId="22BCC364">
                  <w:pPr>
                    <w:snapToGrid w:val="0"/>
                    <w:spacing w:line="240" w:lineRule="auto"/>
                    <w:ind w:firstLine="0" w:firstLineChars="0"/>
                    <w:jc w:val="center"/>
                    <w:rPr>
                      <w:rFonts w:ascii="Times New Roman" w:hAnsi="Times New Roman"/>
                      <w:b/>
                      <w:bCs/>
                      <w:color w:val="auto"/>
                      <w:sz w:val="21"/>
                      <w:szCs w:val="18"/>
                    </w:rPr>
                  </w:pPr>
                  <w:r>
                    <w:rPr>
                      <w:rFonts w:hint="eastAsia" w:ascii="Calibri" w:hAnsi="Calibri"/>
                      <w:b/>
                      <w:bCs/>
                      <w:color w:val="auto"/>
                      <w:sz w:val="21"/>
                      <w:szCs w:val="18"/>
                    </w:rPr>
                    <w:t>（距声源</w:t>
                  </w:r>
                  <w:r>
                    <w:rPr>
                      <w:rFonts w:ascii="Calibri" w:hAnsi="Calibri"/>
                      <w:b/>
                      <w:bCs/>
                      <w:color w:val="auto"/>
                      <w:sz w:val="21"/>
                      <w:szCs w:val="18"/>
                    </w:rPr>
                    <w:t>5m</w:t>
                  </w:r>
                  <w:r>
                    <w:rPr>
                      <w:rFonts w:hint="eastAsia" w:ascii="Calibri" w:hAnsi="Calibri"/>
                      <w:b/>
                      <w:bCs/>
                      <w:color w:val="auto"/>
                      <w:sz w:val="21"/>
                      <w:szCs w:val="18"/>
                    </w:rPr>
                    <w:t>，单位</w:t>
                  </w:r>
                  <w:r>
                    <w:rPr>
                      <w:rFonts w:ascii="Calibri" w:hAnsi="Calibri"/>
                      <w:b/>
                      <w:bCs/>
                      <w:color w:val="auto"/>
                      <w:sz w:val="21"/>
                      <w:szCs w:val="18"/>
                    </w:rPr>
                    <w:t>dB</w:t>
                  </w:r>
                  <w:r>
                    <w:rPr>
                      <w:rFonts w:hint="eastAsia" w:ascii="Calibri" w:hAnsi="Calibri"/>
                      <w:b/>
                      <w:bCs/>
                      <w:color w:val="auto"/>
                      <w:sz w:val="21"/>
                      <w:szCs w:val="18"/>
                    </w:rPr>
                    <w:t>（</w:t>
                  </w:r>
                  <w:r>
                    <w:rPr>
                      <w:rFonts w:ascii="Calibri" w:hAnsi="Calibri"/>
                      <w:b/>
                      <w:bCs/>
                      <w:color w:val="auto"/>
                      <w:sz w:val="21"/>
                      <w:szCs w:val="18"/>
                    </w:rPr>
                    <w:t>A</w:t>
                  </w:r>
                  <w:r>
                    <w:rPr>
                      <w:rFonts w:hint="eastAsia" w:ascii="Calibri" w:hAnsi="Calibri"/>
                      <w:b/>
                      <w:bCs/>
                      <w:color w:val="auto"/>
                      <w:sz w:val="21"/>
                      <w:szCs w:val="18"/>
                    </w:rPr>
                    <w:t>））</w:t>
                  </w:r>
                </w:p>
              </w:tc>
            </w:tr>
            <w:tr w14:paraId="71F4B1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3459C538">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1</w:t>
                  </w:r>
                </w:p>
              </w:tc>
              <w:tc>
                <w:tcPr>
                  <w:tcW w:w="2615" w:type="dxa"/>
                  <w:vAlign w:val="center"/>
                </w:tcPr>
                <w:p w14:paraId="71799772">
                  <w:pPr>
                    <w:snapToGrid w:val="0"/>
                    <w:spacing w:line="240" w:lineRule="auto"/>
                    <w:ind w:firstLine="0" w:firstLineChars="0"/>
                    <w:jc w:val="center"/>
                    <w:rPr>
                      <w:rFonts w:ascii="Times New Roman" w:hAnsi="Times New Roman"/>
                      <w:color w:val="auto"/>
                      <w:sz w:val="21"/>
                      <w:szCs w:val="18"/>
                    </w:rPr>
                  </w:pPr>
                  <w:r>
                    <w:rPr>
                      <w:rFonts w:hint="eastAsia" w:ascii="Calibri" w:hAnsi="Calibri"/>
                      <w:color w:val="auto"/>
                      <w:sz w:val="21"/>
                      <w:szCs w:val="18"/>
                    </w:rPr>
                    <w:t>挖掘机</w:t>
                  </w:r>
                </w:p>
              </w:tc>
              <w:tc>
                <w:tcPr>
                  <w:tcW w:w="4404" w:type="dxa"/>
                  <w:vAlign w:val="center"/>
                </w:tcPr>
                <w:p w14:paraId="60B3EF6A">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86</w:t>
                  </w:r>
                </w:p>
              </w:tc>
            </w:tr>
            <w:tr w14:paraId="58AEC8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533F608C">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2</w:t>
                  </w:r>
                </w:p>
              </w:tc>
              <w:tc>
                <w:tcPr>
                  <w:tcW w:w="2615" w:type="dxa"/>
                  <w:vAlign w:val="center"/>
                </w:tcPr>
                <w:p w14:paraId="450FEBBB">
                  <w:pPr>
                    <w:snapToGrid w:val="0"/>
                    <w:spacing w:line="240" w:lineRule="auto"/>
                    <w:ind w:firstLine="0" w:firstLineChars="0"/>
                    <w:jc w:val="center"/>
                    <w:rPr>
                      <w:rFonts w:ascii="Times New Roman" w:hAnsi="Times New Roman"/>
                      <w:color w:val="auto"/>
                      <w:sz w:val="21"/>
                      <w:szCs w:val="18"/>
                    </w:rPr>
                  </w:pPr>
                  <w:r>
                    <w:rPr>
                      <w:rFonts w:hint="eastAsia" w:ascii="宋体" w:hAnsi="Calibri"/>
                      <w:color w:val="auto"/>
                      <w:sz w:val="21"/>
                    </w:rPr>
                    <w:t>砂浆搅拌机</w:t>
                  </w:r>
                </w:p>
              </w:tc>
              <w:tc>
                <w:tcPr>
                  <w:tcW w:w="4404" w:type="dxa"/>
                  <w:vAlign w:val="center"/>
                </w:tcPr>
                <w:p w14:paraId="0ED33BEE">
                  <w:pPr>
                    <w:snapToGrid w:val="0"/>
                    <w:spacing w:line="240" w:lineRule="auto"/>
                    <w:ind w:firstLine="0" w:firstLineChars="0"/>
                    <w:jc w:val="center"/>
                    <w:rPr>
                      <w:rFonts w:ascii="Times New Roman" w:hAnsi="Times New Roman"/>
                      <w:color w:val="auto"/>
                      <w:sz w:val="21"/>
                      <w:szCs w:val="18"/>
                    </w:rPr>
                  </w:pPr>
                  <w:r>
                    <w:rPr>
                      <w:rFonts w:hint="eastAsia" w:ascii="Times New Roman" w:hAnsi="Times New Roman"/>
                      <w:color w:val="auto"/>
                      <w:sz w:val="21"/>
                      <w:szCs w:val="18"/>
                    </w:rPr>
                    <w:t>73</w:t>
                  </w:r>
                </w:p>
              </w:tc>
            </w:tr>
            <w:tr w14:paraId="613E8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444F4C7D">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3</w:t>
                  </w:r>
                </w:p>
              </w:tc>
              <w:tc>
                <w:tcPr>
                  <w:tcW w:w="2615" w:type="dxa"/>
                  <w:vAlign w:val="center"/>
                </w:tcPr>
                <w:p w14:paraId="08EC4054">
                  <w:pPr>
                    <w:snapToGrid w:val="0"/>
                    <w:spacing w:line="240" w:lineRule="auto"/>
                    <w:ind w:firstLine="0" w:firstLineChars="0"/>
                    <w:jc w:val="center"/>
                    <w:rPr>
                      <w:rFonts w:ascii="Times New Roman" w:hAnsi="Times New Roman"/>
                      <w:color w:val="auto"/>
                      <w:sz w:val="21"/>
                      <w:szCs w:val="18"/>
                    </w:rPr>
                  </w:pPr>
                  <w:r>
                    <w:rPr>
                      <w:rFonts w:hint="eastAsia" w:ascii="宋体" w:hAnsi="Calibri"/>
                      <w:color w:val="auto"/>
                      <w:sz w:val="21"/>
                    </w:rPr>
                    <w:t>起重机</w:t>
                  </w:r>
                </w:p>
              </w:tc>
              <w:tc>
                <w:tcPr>
                  <w:tcW w:w="4404" w:type="dxa"/>
                  <w:vAlign w:val="center"/>
                </w:tcPr>
                <w:p w14:paraId="6A6C8BDD">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85</w:t>
                  </w:r>
                </w:p>
              </w:tc>
            </w:tr>
            <w:tr w14:paraId="5E87A5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364FC292">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4</w:t>
                  </w:r>
                </w:p>
              </w:tc>
              <w:tc>
                <w:tcPr>
                  <w:tcW w:w="2615" w:type="dxa"/>
                  <w:vAlign w:val="center"/>
                </w:tcPr>
                <w:p w14:paraId="62EB314A">
                  <w:pPr>
                    <w:snapToGrid w:val="0"/>
                    <w:spacing w:line="240" w:lineRule="auto"/>
                    <w:ind w:firstLine="0" w:firstLineChars="0"/>
                    <w:jc w:val="center"/>
                    <w:rPr>
                      <w:rFonts w:ascii="Times New Roman" w:hAnsi="Times New Roman"/>
                      <w:color w:val="auto"/>
                      <w:sz w:val="21"/>
                      <w:szCs w:val="18"/>
                    </w:rPr>
                  </w:pPr>
                  <w:r>
                    <w:rPr>
                      <w:rFonts w:hint="eastAsia" w:ascii="宋体" w:hAnsi="Calibri"/>
                      <w:color w:val="auto"/>
                      <w:sz w:val="21"/>
                    </w:rPr>
                    <w:t>砂浆搅拌机</w:t>
                  </w:r>
                </w:p>
              </w:tc>
              <w:tc>
                <w:tcPr>
                  <w:tcW w:w="4404" w:type="dxa"/>
                  <w:vAlign w:val="center"/>
                </w:tcPr>
                <w:p w14:paraId="73CEC5D0">
                  <w:pPr>
                    <w:snapToGrid w:val="0"/>
                    <w:spacing w:line="240" w:lineRule="auto"/>
                    <w:ind w:firstLine="0" w:firstLineChars="0"/>
                    <w:jc w:val="center"/>
                    <w:rPr>
                      <w:rFonts w:ascii="Times New Roman" w:hAnsi="Times New Roman"/>
                      <w:color w:val="auto"/>
                      <w:sz w:val="21"/>
                      <w:szCs w:val="18"/>
                    </w:rPr>
                  </w:pPr>
                  <w:r>
                    <w:rPr>
                      <w:rFonts w:ascii="Times New Roman" w:hAnsi="Times New Roman"/>
                      <w:color w:val="auto"/>
                      <w:sz w:val="21"/>
                      <w:szCs w:val="18"/>
                    </w:rPr>
                    <w:t>8</w:t>
                  </w:r>
                  <w:r>
                    <w:rPr>
                      <w:rFonts w:hint="eastAsia" w:ascii="Times New Roman" w:hAnsi="Times New Roman"/>
                      <w:color w:val="auto"/>
                      <w:sz w:val="21"/>
                      <w:szCs w:val="18"/>
                    </w:rPr>
                    <w:t>5</w:t>
                  </w:r>
                </w:p>
              </w:tc>
            </w:tr>
            <w:tr w14:paraId="6C499E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14F4C479">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5</w:t>
                  </w:r>
                </w:p>
              </w:tc>
              <w:tc>
                <w:tcPr>
                  <w:tcW w:w="2615" w:type="dxa"/>
                  <w:vAlign w:val="center"/>
                </w:tcPr>
                <w:p w14:paraId="6E7A515D">
                  <w:pPr>
                    <w:snapToGrid w:val="0"/>
                    <w:spacing w:line="240" w:lineRule="auto"/>
                    <w:ind w:firstLine="0" w:firstLineChars="0"/>
                    <w:jc w:val="center"/>
                    <w:rPr>
                      <w:rFonts w:ascii="Times New Roman" w:hAnsi="Times New Roman"/>
                      <w:color w:val="auto"/>
                      <w:sz w:val="21"/>
                      <w:szCs w:val="18"/>
                    </w:rPr>
                  </w:pPr>
                  <w:r>
                    <w:rPr>
                      <w:rFonts w:ascii="Times New Roman" w:hAnsi="Times New Roman"/>
                      <w:color w:val="auto"/>
                      <w:sz w:val="21"/>
                      <w:szCs w:val="18"/>
                    </w:rPr>
                    <w:t>混凝土振捣器</w:t>
                  </w:r>
                </w:p>
              </w:tc>
              <w:tc>
                <w:tcPr>
                  <w:tcW w:w="4404" w:type="dxa"/>
                  <w:vAlign w:val="center"/>
                </w:tcPr>
                <w:p w14:paraId="65904F93">
                  <w:pPr>
                    <w:snapToGrid w:val="0"/>
                    <w:spacing w:line="240" w:lineRule="auto"/>
                    <w:ind w:firstLine="0" w:firstLineChars="0"/>
                    <w:jc w:val="center"/>
                    <w:rPr>
                      <w:rFonts w:ascii="Times New Roman" w:hAnsi="Times New Roman"/>
                      <w:color w:val="auto"/>
                      <w:sz w:val="21"/>
                      <w:szCs w:val="18"/>
                    </w:rPr>
                  </w:pPr>
                  <w:r>
                    <w:rPr>
                      <w:rFonts w:ascii="Times New Roman" w:hAnsi="Times New Roman"/>
                      <w:color w:val="auto"/>
                      <w:sz w:val="21"/>
                      <w:szCs w:val="18"/>
                    </w:rPr>
                    <w:t>83</w:t>
                  </w:r>
                </w:p>
              </w:tc>
            </w:tr>
            <w:tr w14:paraId="4500F1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5F5B4E17">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6</w:t>
                  </w:r>
                </w:p>
              </w:tc>
              <w:tc>
                <w:tcPr>
                  <w:tcW w:w="2615" w:type="dxa"/>
                  <w:vAlign w:val="center"/>
                </w:tcPr>
                <w:p w14:paraId="54492CF0">
                  <w:pPr>
                    <w:snapToGrid w:val="0"/>
                    <w:spacing w:line="240" w:lineRule="auto"/>
                    <w:ind w:firstLine="0" w:firstLineChars="0"/>
                    <w:jc w:val="center"/>
                    <w:rPr>
                      <w:rFonts w:ascii="Times New Roman" w:hAnsi="Times New Roman"/>
                      <w:color w:val="auto"/>
                      <w:sz w:val="21"/>
                      <w:szCs w:val="18"/>
                    </w:rPr>
                  </w:pPr>
                  <w:r>
                    <w:rPr>
                      <w:rFonts w:hint="eastAsia" w:ascii="宋体" w:hAnsi="Calibri"/>
                      <w:color w:val="auto"/>
                      <w:sz w:val="21"/>
                    </w:rPr>
                    <w:t>柴油发电机</w:t>
                  </w:r>
                </w:p>
              </w:tc>
              <w:tc>
                <w:tcPr>
                  <w:tcW w:w="4404" w:type="dxa"/>
                  <w:vAlign w:val="center"/>
                </w:tcPr>
                <w:p w14:paraId="164DE2C2">
                  <w:pPr>
                    <w:snapToGrid w:val="0"/>
                    <w:spacing w:line="240" w:lineRule="auto"/>
                    <w:ind w:firstLine="0" w:firstLineChars="0"/>
                    <w:jc w:val="center"/>
                    <w:rPr>
                      <w:rFonts w:ascii="Times New Roman" w:hAnsi="Times New Roman"/>
                      <w:color w:val="auto"/>
                      <w:sz w:val="21"/>
                      <w:szCs w:val="18"/>
                    </w:rPr>
                  </w:pPr>
                  <w:r>
                    <w:rPr>
                      <w:rFonts w:hint="eastAsia" w:ascii="Times New Roman" w:hAnsi="Times New Roman"/>
                      <w:color w:val="auto"/>
                      <w:sz w:val="21"/>
                      <w:szCs w:val="18"/>
                    </w:rPr>
                    <w:t>95</w:t>
                  </w:r>
                </w:p>
              </w:tc>
            </w:tr>
            <w:tr w14:paraId="16266A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8" w:type="dxa"/>
                  <w:vAlign w:val="center"/>
                </w:tcPr>
                <w:p w14:paraId="5045A6A9">
                  <w:pPr>
                    <w:snapToGrid w:val="0"/>
                    <w:spacing w:line="240" w:lineRule="auto"/>
                    <w:ind w:firstLine="0" w:firstLineChars="0"/>
                    <w:jc w:val="center"/>
                    <w:rPr>
                      <w:rFonts w:ascii="Times New Roman" w:hAnsi="Times New Roman"/>
                      <w:color w:val="auto"/>
                      <w:sz w:val="21"/>
                      <w:szCs w:val="18"/>
                    </w:rPr>
                  </w:pPr>
                  <w:r>
                    <w:rPr>
                      <w:rFonts w:ascii="Calibri" w:hAnsi="Calibri"/>
                      <w:color w:val="auto"/>
                      <w:sz w:val="21"/>
                      <w:szCs w:val="18"/>
                    </w:rPr>
                    <w:t>7</w:t>
                  </w:r>
                </w:p>
              </w:tc>
              <w:tc>
                <w:tcPr>
                  <w:tcW w:w="2615" w:type="dxa"/>
                  <w:vAlign w:val="center"/>
                </w:tcPr>
                <w:p w14:paraId="71EA7B6B">
                  <w:pPr>
                    <w:snapToGrid w:val="0"/>
                    <w:spacing w:line="240" w:lineRule="auto"/>
                    <w:ind w:firstLine="0" w:firstLineChars="0"/>
                    <w:jc w:val="center"/>
                    <w:rPr>
                      <w:rFonts w:ascii="Times New Roman" w:hAnsi="Times New Roman"/>
                      <w:color w:val="auto"/>
                      <w:sz w:val="21"/>
                      <w:szCs w:val="18"/>
                    </w:rPr>
                  </w:pPr>
                  <w:r>
                    <w:rPr>
                      <w:rFonts w:hint="eastAsia" w:ascii="宋体" w:hAnsi="Calibri"/>
                      <w:color w:val="auto"/>
                      <w:sz w:val="21"/>
                    </w:rPr>
                    <w:t>空压机</w:t>
                  </w:r>
                </w:p>
              </w:tc>
              <w:tc>
                <w:tcPr>
                  <w:tcW w:w="4404" w:type="dxa"/>
                  <w:vAlign w:val="center"/>
                </w:tcPr>
                <w:p w14:paraId="4B8DB35A">
                  <w:pPr>
                    <w:snapToGrid w:val="0"/>
                    <w:spacing w:line="240" w:lineRule="auto"/>
                    <w:ind w:firstLine="0" w:firstLineChars="0"/>
                    <w:jc w:val="center"/>
                    <w:rPr>
                      <w:rFonts w:ascii="Times New Roman" w:hAnsi="Times New Roman"/>
                      <w:color w:val="auto"/>
                      <w:sz w:val="21"/>
                      <w:szCs w:val="18"/>
                    </w:rPr>
                  </w:pPr>
                  <w:r>
                    <w:rPr>
                      <w:rFonts w:hint="eastAsia" w:ascii="Times New Roman" w:hAnsi="Times New Roman"/>
                      <w:color w:val="auto"/>
                      <w:sz w:val="21"/>
                      <w:szCs w:val="18"/>
                    </w:rPr>
                    <w:t>88</w:t>
                  </w:r>
                </w:p>
              </w:tc>
            </w:tr>
          </w:tbl>
          <w:p w14:paraId="2939BDEA">
            <w:pPr>
              <w:adjustRightInd w:val="0"/>
              <w:snapToGrid w:val="0"/>
              <w:ind w:firstLine="480"/>
              <w:jc w:val="left"/>
              <w:rPr>
                <w:color w:val="auto"/>
                <w:kern w:val="0"/>
              </w:rPr>
            </w:pPr>
          </w:p>
          <w:p w14:paraId="6A1D8287">
            <w:pPr>
              <w:suppressAutoHyphens/>
              <w:topLinePunct/>
              <w:adjustRightInd w:val="0"/>
              <w:snapToGrid w:val="0"/>
              <w:spacing w:before="120" w:beforeLines="50"/>
              <w:ind w:firstLine="480"/>
              <w:rPr>
                <w:rFonts w:cs="宋体"/>
                <w:bCs/>
                <w:color w:val="auto"/>
                <w:szCs w:val="21"/>
              </w:rPr>
            </w:pPr>
            <w:r>
              <w:rPr>
                <w:rFonts w:cs="宋体"/>
                <w:bCs/>
                <w:color w:val="auto"/>
                <w:szCs w:val="21"/>
              </w:rPr>
              <w:t>将施工阶段各主要施工机械噪声源强代入点声源的几何发散衰减计算公式，计算各单台机械设备噪声随距离扩散衰减情况见下表。</w:t>
            </w:r>
          </w:p>
          <w:p w14:paraId="361CB930">
            <w:pPr>
              <w:pStyle w:val="37"/>
              <w:ind w:firstLine="480"/>
              <w:rPr>
                <w:color w:val="auto"/>
              </w:rPr>
            </w:pPr>
            <w:r>
              <w:rPr>
                <w:rFonts w:hint="eastAsia"/>
                <w:color w:val="auto"/>
              </w:rPr>
              <w:t>表</w:t>
            </w:r>
            <w:r>
              <w:rPr>
                <w:color w:val="auto"/>
              </w:rPr>
              <w:t>4-</w:t>
            </w:r>
            <w:r>
              <w:rPr>
                <w:rFonts w:hint="eastAsia"/>
                <w:color w:val="auto"/>
              </w:rPr>
              <w:t>3 各单台施工机械噪声随距离衰减情况一览表</w:t>
            </w:r>
          </w:p>
          <w:tbl>
            <w:tblPr>
              <w:tblStyle w:val="1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911"/>
              <w:gridCol w:w="1097"/>
              <w:gridCol w:w="830"/>
              <w:gridCol w:w="830"/>
              <w:gridCol w:w="832"/>
              <w:gridCol w:w="830"/>
              <w:gridCol w:w="830"/>
            </w:tblGrid>
            <w:tr w14:paraId="3EA31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1FB9DCC8">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施工设备</w:t>
                  </w:r>
                </w:p>
              </w:tc>
              <w:tc>
                <w:tcPr>
                  <w:tcW w:w="827" w:type="dxa"/>
                  <w:vAlign w:val="center"/>
                </w:tcPr>
                <w:p w14:paraId="3857B0DC">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源强</w:t>
                  </w:r>
                </w:p>
                <w:p w14:paraId="1728B759">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iCs/>
                      <w:color w:val="auto"/>
                      <w:kern w:val="0"/>
                      <w:sz w:val="21"/>
                      <w:szCs w:val="21"/>
                    </w:rPr>
                    <w:t>L</w:t>
                  </w:r>
                  <w:r>
                    <w:rPr>
                      <w:rFonts w:eastAsia="新宋体"/>
                      <w:color w:val="auto"/>
                      <w:kern w:val="0"/>
                      <w:sz w:val="21"/>
                      <w:szCs w:val="21"/>
                      <w:vertAlign w:val="subscript"/>
                    </w:rPr>
                    <w:t>p</w:t>
                  </w:r>
                  <w:r>
                    <w:rPr>
                      <w:rFonts w:hint="eastAsia" w:eastAsia="新宋体"/>
                      <w:color w:val="auto"/>
                      <w:kern w:val="0"/>
                      <w:sz w:val="21"/>
                      <w:szCs w:val="21"/>
                    </w:rPr>
                    <w:t>（</w:t>
                  </w:r>
                  <w:r>
                    <w:rPr>
                      <w:rFonts w:eastAsia="新宋体"/>
                      <w:color w:val="auto"/>
                      <w:kern w:val="0"/>
                      <w:sz w:val="21"/>
                      <w:szCs w:val="21"/>
                    </w:rPr>
                    <w:t>r</w:t>
                  </w:r>
                  <w:r>
                    <w:rPr>
                      <w:rFonts w:eastAsia="新宋体"/>
                      <w:color w:val="auto"/>
                      <w:kern w:val="0"/>
                      <w:sz w:val="21"/>
                      <w:szCs w:val="21"/>
                      <w:vertAlign w:val="subscript"/>
                    </w:rPr>
                    <w:t>0</w:t>
                  </w:r>
                  <w:r>
                    <w:rPr>
                      <w:rFonts w:hint="eastAsia" w:eastAsia="新宋体"/>
                      <w:color w:val="auto"/>
                      <w:kern w:val="0"/>
                      <w:sz w:val="21"/>
                      <w:szCs w:val="21"/>
                    </w:rPr>
                    <w:t>）</w:t>
                  </w:r>
                </w:p>
              </w:tc>
              <w:tc>
                <w:tcPr>
                  <w:tcW w:w="995" w:type="dxa"/>
                  <w:vAlign w:val="center"/>
                </w:tcPr>
                <w:p w14:paraId="100E997E">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不同距离的声级</w:t>
                  </w:r>
                  <w:r>
                    <w:rPr>
                      <w:rFonts w:eastAsia="新宋体"/>
                      <w:iCs/>
                      <w:color w:val="auto"/>
                      <w:kern w:val="0"/>
                      <w:sz w:val="21"/>
                      <w:szCs w:val="21"/>
                    </w:rPr>
                    <w:t>L</w:t>
                  </w:r>
                  <w:r>
                    <w:rPr>
                      <w:rFonts w:eastAsia="新宋体"/>
                      <w:color w:val="auto"/>
                      <w:kern w:val="0"/>
                      <w:sz w:val="21"/>
                      <w:szCs w:val="21"/>
                      <w:vertAlign w:val="subscript"/>
                    </w:rPr>
                    <w:t>p</w:t>
                  </w:r>
                  <w:r>
                    <w:rPr>
                      <w:rFonts w:hint="eastAsia" w:eastAsia="新宋体"/>
                      <w:color w:val="auto"/>
                      <w:kern w:val="0"/>
                      <w:sz w:val="21"/>
                      <w:szCs w:val="21"/>
                    </w:rPr>
                    <w:t>（</w:t>
                  </w:r>
                  <w:r>
                    <w:rPr>
                      <w:rFonts w:eastAsia="新宋体"/>
                      <w:color w:val="auto"/>
                      <w:kern w:val="0"/>
                      <w:sz w:val="21"/>
                      <w:szCs w:val="21"/>
                    </w:rPr>
                    <w:t>r</w:t>
                  </w:r>
                  <w:r>
                    <w:rPr>
                      <w:rFonts w:hint="eastAsia" w:eastAsia="新宋体"/>
                      <w:color w:val="auto"/>
                      <w:kern w:val="0"/>
                      <w:sz w:val="21"/>
                      <w:szCs w:val="21"/>
                    </w:rPr>
                    <w:t>）</w:t>
                  </w:r>
                </w:p>
              </w:tc>
              <w:tc>
                <w:tcPr>
                  <w:tcW w:w="753" w:type="dxa"/>
                  <w:vAlign w:val="center"/>
                </w:tcPr>
                <w:p w14:paraId="1B23272E">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kern w:val="0"/>
                      <w:sz w:val="21"/>
                      <w:szCs w:val="21"/>
                    </w:rPr>
                    <w:t>70</w:t>
                  </w:r>
                  <w:r>
                    <w:rPr>
                      <w:rFonts w:eastAsia="新宋体"/>
                      <w:color w:val="auto"/>
                      <w:sz w:val="21"/>
                    </w:rPr>
                    <w:t>dB</w:t>
                  </w:r>
                </w:p>
                <w:p w14:paraId="2EA2D03A">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753" w:type="dxa"/>
                  <w:vAlign w:val="center"/>
                </w:tcPr>
                <w:p w14:paraId="371B039C">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65</w:t>
                  </w:r>
                </w:p>
                <w:p w14:paraId="2266368A">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46470ED2">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755" w:type="dxa"/>
                  <w:vAlign w:val="center"/>
                </w:tcPr>
                <w:p w14:paraId="2F105B18">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60</w:t>
                  </w:r>
                </w:p>
                <w:p w14:paraId="2183622A">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4859B2CF">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753" w:type="dxa"/>
                  <w:vAlign w:val="center"/>
                </w:tcPr>
                <w:p w14:paraId="342D88F7">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55</w:t>
                  </w:r>
                </w:p>
                <w:p w14:paraId="51EC366F">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6DF11DD5">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753" w:type="dxa"/>
                  <w:vAlign w:val="center"/>
                </w:tcPr>
                <w:p w14:paraId="56126897">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50</w:t>
                  </w:r>
                </w:p>
                <w:p w14:paraId="1B435E92">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028FC83B">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r>
            <w:tr w14:paraId="56A1F2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3A57E986">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挖掘机</w:t>
                  </w:r>
                </w:p>
              </w:tc>
              <w:tc>
                <w:tcPr>
                  <w:tcW w:w="827" w:type="dxa"/>
                  <w:vAlign w:val="center"/>
                </w:tcPr>
                <w:p w14:paraId="59A68355">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86</w:t>
                  </w:r>
                </w:p>
              </w:tc>
              <w:tc>
                <w:tcPr>
                  <w:tcW w:w="995" w:type="dxa"/>
                  <w:vMerge w:val="restart"/>
                  <w:vAlign w:val="center"/>
                </w:tcPr>
                <w:p w14:paraId="640942EC">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传播</w:t>
                  </w:r>
                </w:p>
                <w:p w14:paraId="525938EA">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距离</w:t>
                  </w:r>
                </w:p>
                <w:p w14:paraId="43E95966">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r</w:t>
                  </w:r>
                  <w:r>
                    <w:rPr>
                      <w:rFonts w:hint="eastAsia" w:eastAsia="新宋体"/>
                      <w:color w:val="auto"/>
                      <w:kern w:val="0"/>
                      <w:sz w:val="21"/>
                      <w:szCs w:val="21"/>
                    </w:rPr>
                    <w:t>（</w:t>
                  </w:r>
                  <w:r>
                    <w:rPr>
                      <w:rFonts w:eastAsia="新宋体"/>
                      <w:color w:val="auto"/>
                      <w:kern w:val="0"/>
                      <w:sz w:val="21"/>
                      <w:szCs w:val="21"/>
                    </w:rPr>
                    <w:t>m</w:t>
                  </w:r>
                  <w:r>
                    <w:rPr>
                      <w:rFonts w:hint="eastAsia" w:eastAsia="新宋体"/>
                      <w:color w:val="auto"/>
                      <w:kern w:val="0"/>
                      <w:sz w:val="21"/>
                      <w:szCs w:val="21"/>
                    </w:rPr>
                    <w:t>）</w:t>
                  </w:r>
                </w:p>
              </w:tc>
              <w:tc>
                <w:tcPr>
                  <w:tcW w:w="753" w:type="dxa"/>
                  <w:vAlign w:val="center"/>
                </w:tcPr>
                <w:p w14:paraId="6A17899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30</w:t>
                  </w:r>
                </w:p>
              </w:tc>
              <w:tc>
                <w:tcPr>
                  <w:tcW w:w="753" w:type="dxa"/>
                  <w:vAlign w:val="center"/>
                </w:tcPr>
                <w:p w14:paraId="2405BF58">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48</w:t>
                  </w:r>
                </w:p>
              </w:tc>
              <w:tc>
                <w:tcPr>
                  <w:tcW w:w="755" w:type="dxa"/>
                  <w:vAlign w:val="center"/>
                </w:tcPr>
                <w:p w14:paraId="0B8A5EE0">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78</w:t>
                  </w:r>
                </w:p>
              </w:tc>
              <w:tc>
                <w:tcPr>
                  <w:tcW w:w="753" w:type="dxa"/>
                  <w:vAlign w:val="center"/>
                </w:tcPr>
                <w:p w14:paraId="56666AED">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120</w:t>
                  </w:r>
                </w:p>
              </w:tc>
              <w:tc>
                <w:tcPr>
                  <w:tcW w:w="753" w:type="dxa"/>
                  <w:vAlign w:val="center"/>
                </w:tcPr>
                <w:p w14:paraId="3220DEBD">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177</w:t>
                  </w:r>
                </w:p>
              </w:tc>
            </w:tr>
            <w:tr w14:paraId="3CD99A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53373BBB">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ascii="宋体"/>
                      <w:color w:val="auto"/>
                      <w:sz w:val="21"/>
                    </w:rPr>
                    <w:t>砂浆搅拌机</w:t>
                  </w:r>
                  <w:r>
                    <w:rPr>
                      <w:rFonts w:eastAsia="新宋体"/>
                      <w:color w:val="auto"/>
                      <w:kern w:val="0"/>
                      <w:sz w:val="21"/>
                      <w:szCs w:val="21"/>
                    </w:rPr>
                    <w:t>/</w:t>
                  </w:r>
                  <w:r>
                    <w:rPr>
                      <w:rFonts w:hint="eastAsia" w:ascii="宋体"/>
                      <w:color w:val="auto"/>
                      <w:sz w:val="21"/>
                    </w:rPr>
                    <w:t>起重机</w:t>
                  </w:r>
                </w:p>
              </w:tc>
              <w:tc>
                <w:tcPr>
                  <w:tcW w:w="827" w:type="dxa"/>
                  <w:vAlign w:val="center"/>
                </w:tcPr>
                <w:p w14:paraId="08FB57B1">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85</w:t>
                  </w:r>
                </w:p>
              </w:tc>
              <w:tc>
                <w:tcPr>
                  <w:tcW w:w="995" w:type="dxa"/>
                  <w:vMerge w:val="continue"/>
                  <w:vAlign w:val="center"/>
                </w:tcPr>
                <w:p w14:paraId="2D5FE437">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753" w:type="dxa"/>
                  <w:vAlign w:val="center"/>
                </w:tcPr>
                <w:p w14:paraId="52C2CD5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26</w:t>
                  </w:r>
                </w:p>
              </w:tc>
              <w:tc>
                <w:tcPr>
                  <w:tcW w:w="753" w:type="dxa"/>
                  <w:vAlign w:val="center"/>
                </w:tcPr>
                <w:p w14:paraId="164BBD99">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45</w:t>
                  </w:r>
                </w:p>
              </w:tc>
              <w:tc>
                <w:tcPr>
                  <w:tcW w:w="755" w:type="dxa"/>
                  <w:vAlign w:val="center"/>
                </w:tcPr>
                <w:p w14:paraId="72B56541">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70</w:t>
                  </w:r>
                </w:p>
              </w:tc>
              <w:tc>
                <w:tcPr>
                  <w:tcW w:w="753" w:type="dxa"/>
                  <w:vAlign w:val="center"/>
                </w:tcPr>
                <w:p w14:paraId="33FA642D">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110</w:t>
                  </w:r>
                </w:p>
              </w:tc>
              <w:tc>
                <w:tcPr>
                  <w:tcW w:w="753" w:type="dxa"/>
                  <w:vAlign w:val="center"/>
                </w:tcPr>
                <w:p w14:paraId="27E1EC0A">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164</w:t>
                  </w:r>
                </w:p>
              </w:tc>
            </w:tr>
            <w:tr w14:paraId="73EC45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268BC326">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静力压桩机</w:t>
                  </w:r>
                </w:p>
              </w:tc>
              <w:tc>
                <w:tcPr>
                  <w:tcW w:w="827" w:type="dxa"/>
                  <w:vAlign w:val="center"/>
                </w:tcPr>
                <w:p w14:paraId="5ACA57A1">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73</w:t>
                  </w:r>
                </w:p>
              </w:tc>
              <w:tc>
                <w:tcPr>
                  <w:tcW w:w="995" w:type="dxa"/>
                  <w:vMerge w:val="continue"/>
                  <w:vAlign w:val="center"/>
                </w:tcPr>
                <w:p w14:paraId="1F90AFA1">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753" w:type="dxa"/>
                  <w:vAlign w:val="center"/>
                </w:tcPr>
                <w:p w14:paraId="0CAE7BCC">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w:t>
                  </w:r>
                </w:p>
              </w:tc>
              <w:tc>
                <w:tcPr>
                  <w:tcW w:w="753" w:type="dxa"/>
                  <w:vAlign w:val="center"/>
                </w:tcPr>
                <w:p w14:paraId="1CCFFF7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13</w:t>
                  </w:r>
                </w:p>
              </w:tc>
              <w:tc>
                <w:tcPr>
                  <w:tcW w:w="755" w:type="dxa"/>
                  <w:vAlign w:val="center"/>
                </w:tcPr>
                <w:p w14:paraId="7287BD69">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21</w:t>
                  </w:r>
                </w:p>
              </w:tc>
              <w:tc>
                <w:tcPr>
                  <w:tcW w:w="753" w:type="dxa"/>
                  <w:vAlign w:val="center"/>
                </w:tcPr>
                <w:p w14:paraId="5C7A4ECB">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36</w:t>
                  </w:r>
                </w:p>
              </w:tc>
              <w:tc>
                <w:tcPr>
                  <w:tcW w:w="753" w:type="dxa"/>
                  <w:vAlign w:val="center"/>
                </w:tcPr>
                <w:p w14:paraId="5B2DA01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59</w:t>
                  </w:r>
                </w:p>
              </w:tc>
            </w:tr>
            <w:tr w14:paraId="1C87BC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459C36AF">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混凝土振捣器</w:t>
                  </w:r>
                </w:p>
              </w:tc>
              <w:tc>
                <w:tcPr>
                  <w:tcW w:w="827" w:type="dxa"/>
                  <w:vAlign w:val="center"/>
                </w:tcPr>
                <w:p w14:paraId="14EABC6E">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83</w:t>
                  </w:r>
                </w:p>
              </w:tc>
              <w:tc>
                <w:tcPr>
                  <w:tcW w:w="995" w:type="dxa"/>
                  <w:vMerge w:val="continue"/>
                  <w:vAlign w:val="center"/>
                </w:tcPr>
                <w:p w14:paraId="0C4B8E2C">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753" w:type="dxa"/>
                  <w:vAlign w:val="center"/>
                </w:tcPr>
                <w:p w14:paraId="4999E907">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21</w:t>
                  </w:r>
                </w:p>
              </w:tc>
              <w:tc>
                <w:tcPr>
                  <w:tcW w:w="753" w:type="dxa"/>
                  <w:vAlign w:val="center"/>
                </w:tcPr>
                <w:p w14:paraId="308D907A">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36</w:t>
                  </w:r>
                </w:p>
              </w:tc>
              <w:tc>
                <w:tcPr>
                  <w:tcW w:w="755" w:type="dxa"/>
                  <w:vAlign w:val="center"/>
                </w:tcPr>
                <w:p w14:paraId="41EC777B">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59</w:t>
                  </w:r>
                </w:p>
              </w:tc>
              <w:tc>
                <w:tcPr>
                  <w:tcW w:w="753" w:type="dxa"/>
                  <w:vAlign w:val="center"/>
                </w:tcPr>
                <w:p w14:paraId="27B0776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93</w:t>
                  </w:r>
                </w:p>
              </w:tc>
              <w:tc>
                <w:tcPr>
                  <w:tcW w:w="753" w:type="dxa"/>
                  <w:vAlign w:val="center"/>
                </w:tcPr>
                <w:p w14:paraId="37E0D24E">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141</w:t>
                  </w:r>
                </w:p>
              </w:tc>
            </w:tr>
            <w:tr w14:paraId="5646C0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56B9C937">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ascii="宋体"/>
                      <w:color w:val="auto"/>
                      <w:sz w:val="21"/>
                    </w:rPr>
                    <w:t>柴油发电机</w:t>
                  </w:r>
                </w:p>
              </w:tc>
              <w:tc>
                <w:tcPr>
                  <w:tcW w:w="827" w:type="dxa"/>
                  <w:vAlign w:val="center"/>
                </w:tcPr>
                <w:p w14:paraId="30692750">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95</w:t>
                  </w:r>
                </w:p>
              </w:tc>
              <w:tc>
                <w:tcPr>
                  <w:tcW w:w="995" w:type="dxa"/>
                  <w:vMerge w:val="continue"/>
                  <w:vAlign w:val="center"/>
                </w:tcPr>
                <w:p w14:paraId="4D15E3DB">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753" w:type="dxa"/>
                  <w:vAlign w:val="center"/>
                </w:tcPr>
                <w:p w14:paraId="5BD3207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72</w:t>
                  </w:r>
                </w:p>
              </w:tc>
              <w:tc>
                <w:tcPr>
                  <w:tcW w:w="753" w:type="dxa"/>
                  <w:vAlign w:val="center"/>
                </w:tcPr>
                <w:p w14:paraId="4D90B817">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110</w:t>
                  </w:r>
                </w:p>
              </w:tc>
              <w:tc>
                <w:tcPr>
                  <w:tcW w:w="755" w:type="dxa"/>
                  <w:vAlign w:val="center"/>
                </w:tcPr>
                <w:p w14:paraId="43F31BCD">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164</w:t>
                  </w:r>
                </w:p>
              </w:tc>
              <w:tc>
                <w:tcPr>
                  <w:tcW w:w="753" w:type="dxa"/>
                  <w:vAlign w:val="center"/>
                </w:tcPr>
                <w:p w14:paraId="607E7252">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253</w:t>
                  </w:r>
                </w:p>
              </w:tc>
              <w:tc>
                <w:tcPr>
                  <w:tcW w:w="753" w:type="dxa"/>
                  <w:vAlign w:val="center"/>
                </w:tcPr>
                <w:p w14:paraId="6DF48E60">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423</w:t>
                  </w:r>
                </w:p>
              </w:tc>
            </w:tr>
            <w:tr w14:paraId="551920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3" w:type="dxa"/>
                  <w:vAlign w:val="center"/>
                </w:tcPr>
                <w:p w14:paraId="714DE4A1">
                  <w:pPr>
                    <w:suppressAutoHyphens/>
                    <w:topLinePunct/>
                    <w:adjustRightInd w:val="0"/>
                    <w:snapToGrid w:val="0"/>
                    <w:spacing w:line="240" w:lineRule="auto"/>
                    <w:ind w:firstLine="0" w:firstLineChars="0"/>
                    <w:jc w:val="center"/>
                    <w:rPr>
                      <w:rFonts w:ascii="宋体"/>
                      <w:color w:val="auto"/>
                      <w:sz w:val="21"/>
                    </w:rPr>
                  </w:pPr>
                  <w:r>
                    <w:rPr>
                      <w:rFonts w:hint="eastAsia" w:ascii="宋体"/>
                      <w:color w:val="auto"/>
                      <w:sz w:val="21"/>
                    </w:rPr>
                    <w:t>空压机</w:t>
                  </w:r>
                </w:p>
              </w:tc>
              <w:tc>
                <w:tcPr>
                  <w:tcW w:w="827" w:type="dxa"/>
                  <w:vAlign w:val="center"/>
                </w:tcPr>
                <w:p w14:paraId="5448DFDC">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88</w:t>
                  </w:r>
                </w:p>
              </w:tc>
              <w:tc>
                <w:tcPr>
                  <w:tcW w:w="995" w:type="dxa"/>
                  <w:vMerge w:val="continue"/>
                  <w:vAlign w:val="center"/>
                </w:tcPr>
                <w:p w14:paraId="0AC0E001">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753" w:type="dxa"/>
                  <w:vAlign w:val="center"/>
                </w:tcPr>
                <w:p w14:paraId="245E3B1D">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36</w:t>
                  </w:r>
                </w:p>
              </w:tc>
              <w:tc>
                <w:tcPr>
                  <w:tcW w:w="753" w:type="dxa"/>
                  <w:vAlign w:val="center"/>
                </w:tcPr>
                <w:p w14:paraId="4E0E9C9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59</w:t>
                  </w:r>
                </w:p>
              </w:tc>
              <w:tc>
                <w:tcPr>
                  <w:tcW w:w="755" w:type="dxa"/>
                  <w:vAlign w:val="center"/>
                </w:tcPr>
                <w:p w14:paraId="2199B9D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93</w:t>
                  </w:r>
                </w:p>
              </w:tc>
              <w:tc>
                <w:tcPr>
                  <w:tcW w:w="753" w:type="dxa"/>
                  <w:vAlign w:val="center"/>
                </w:tcPr>
                <w:p w14:paraId="217AA840">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141</w:t>
                  </w:r>
                </w:p>
              </w:tc>
              <w:tc>
                <w:tcPr>
                  <w:tcW w:w="753" w:type="dxa"/>
                  <w:vAlign w:val="center"/>
                </w:tcPr>
                <w:p w14:paraId="7995557F">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206</w:t>
                  </w:r>
                </w:p>
              </w:tc>
            </w:tr>
          </w:tbl>
          <w:p w14:paraId="7347E9C5">
            <w:pPr>
              <w:suppressAutoHyphens/>
              <w:topLinePunct/>
              <w:adjustRightInd w:val="0"/>
              <w:snapToGrid w:val="0"/>
              <w:spacing w:line="240" w:lineRule="auto"/>
              <w:ind w:firstLine="0" w:firstLineChars="0"/>
              <w:rPr>
                <w:color w:val="auto"/>
                <w:szCs w:val="20"/>
              </w:rPr>
            </w:pPr>
            <w:r>
              <w:rPr>
                <w:rFonts w:hint="eastAsia"/>
                <w:color w:val="auto"/>
                <w:sz w:val="21"/>
                <w:szCs w:val="16"/>
              </w:rPr>
              <w:t>注：施工设备噪声源强引自《环境噪声与振动控制工程技术导则》（</w:t>
            </w:r>
            <w:r>
              <w:rPr>
                <w:color w:val="auto"/>
                <w:sz w:val="21"/>
                <w:szCs w:val="16"/>
              </w:rPr>
              <w:t>HJ 2034-2013</w:t>
            </w:r>
            <w:r>
              <w:rPr>
                <w:rFonts w:hint="eastAsia"/>
                <w:color w:val="auto"/>
                <w:sz w:val="21"/>
                <w:szCs w:val="16"/>
              </w:rPr>
              <w:t>）及结合项目特点，其中</w:t>
            </w:r>
            <w:r>
              <w:rPr>
                <w:i/>
                <w:iCs/>
                <w:color w:val="auto"/>
                <w:sz w:val="21"/>
                <w:szCs w:val="16"/>
              </w:rPr>
              <w:t>Lp</w:t>
            </w:r>
            <w:r>
              <w:rPr>
                <w:rFonts w:hint="eastAsia"/>
                <w:i/>
                <w:iCs/>
                <w:color w:val="auto"/>
                <w:sz w:val="21"/>
                <w:szCs w:val="16"/>
              </w:rPr>
              <w:t>（</w:t>
            </w:r>
            <w:r>
              <w:rPr>
                <w:i/>
                <w:iCs/>
                <w:color w:val="auto"/>
                <w:sz w:val="21"/>
                <w:szCs w:val="16"/>
              </w:rPr>
              <w:t>r0</w:t>
            </w:r>
            <w:r>
              <w:rPr>
                <w:rFonts w:hint="eastAsia"/>
                <w:i/>
                <w:iCs/>
                <w:color w:val="auto"/>
                <w:sz w:val="21"/>
                <w:szCs w:val="16"/>
              </w:rPr>
              <w:t>）</w:t>
            </w:r>
            <w:r>
              <w:rPr>
                <w:rFonts w:hint="eastAsia"/>
                <w:color w:val="auto"/>
                <w:sz w:val="21"/>
                <w:szCs w:val="16"/>
              </w:rPr>
              <w:t>取距声源</w:t>
            </w:r>
            <w:r>
              <w:rPr>
                <w:color w:val="auto"/>
                <w:sz w:val="21"/>
                <w:szCs w:val="16"/>
              </w:rPr>
              <w:t>5m</w:t>
            </w:r>
            <w:r>
              <w:rPr>
                <w:rFonts w:hint="eastAsia"/>
                <w:color w:val="auto"/>
                <w:sz w:val="21"/>
                <w:szCs w:val="16"/>
              </w:rPr>
              <w:t>处声压级，</w:t>
            </w:r>
            <w:r>
              <w:rPr>
                <w:color w:val="auto"/>
                <w:sz w:val="21"/>
                <w:szCs w:val="16"/>
              </w:rPr>
              <w:t>r</w:t>
            </w:r>
            <w:r>
              <w:rPr>
                <w:rFonts w:hint="eastAsia"/>
                <w:color w:val="auto"/>
                <w:sz w:val="21"/>
                <w:szCs w:val="16"/>
              </w:rPr>
              <w:t>为衰减至固定声压级时预测点距声源的距离</w:t>
            </w:r>
          </w:p>
          <w:p w14:paraId="2906D8A1">
            <w:pPr>
              <w:pStyle w:val="37"/>
              <w:ind w:firstLine="480"/>
              <w:rPr>
                <w:color w:val="auto"/>
              </w:rPr>
            </w:pPr>
            <w:r>
              <w:rPr>
                <w:rFonts w:hint="eastAsia"/>
                <w:color w:val="auto"/>
              </w:rPr>
              <w:t>表</w:t>
            </w:r>
            <w:r>
              <w:rPr>
                <w:color w:val="auto"/>
              </w:rPr>
              <w:t>4-</w:t>
            </w:r>
            <w:r>
              <w:rPr>
                <w:rFonts w:hint="eastAsia"/>
                <w:color w:val="auto"/>
              </w:rPr>
              <w:t>4 各单台施工机械噪声</w:t>
            </w:r>
            <w:r>
              <w:rPr>
                <w:rFonts w:hint="eastAsia"/>
                <w:bCs/>
                <w:color w:val="auto"/>
              </w:rPr>
              <w:t>设置硬质临时围挡后</w:t>
            </w:r>
            <w:r>
              <w:rPr>
                <w:rFonts w:hint="eastAsia"/>
                <w:color w:val="auto"/>
              </w:rPr>
              <w:t>随距离衰减情况一览表</w:t>
            </w:r>
          </w:p>
          <w:tbl>
            <w:tblPr>
              <w:tblStyle w:val="1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911"/>
              <w:gridCol w:w="1097"/>
              <w:gridCol w:w="830"/>
              <w:gridCol w:w="830"/>
              <w:gridCol w:w="832"/>
              <w:gridCol w:w="830"/>
              <w:gridCol w:w="830"/>
            </w:tblGrid>
            <w:tr w14:paraId="20AC84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06B169F0">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施工设备</w:t>
                  </w:r>
                </w:p>
              </w:tc>
              <w:tc>
                <w:tcPr>
                  <w:tcW w:w="911" w:type="dxa"/>
                  <w:vAlign w:val="center"/>
                </w:tcPr>
                <w:p w14:paraId="5F39E0AC">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源强</w:t>
                  </w:r>
                </w:p>
                <w:p w14:paraId="4A6D0113">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iCs/>
                      <w:color w:val="auto"/>
                      <w:kern w:val="0"/>
                      <w:sz w:val="21"/>
                      <w:szCs w:val="21"/>
                    </w:rPr>
                    <w:t>L</w:t>
                  </w:r>
                  <w:r>
                    <w:rPr>
                      <w:rFonts w:eastAsia="新宋体"/>
                      <w:color w:val="auto"/>
                      <w:kern w:val="0"/>
                      <w:sz w:val="21"/>
                      <w:szCs w:val="21"/>
                      <w:vertAlign w:val="subscript"/>
                    </w:rPr>
                    <w:t>p</w:t>
                  </w:r>
                  <w:r>
                    <w:rPr>
                      <w:rFonts w:hint="eastAsia" w:eastAsia="新宋体"/>
                      <w:color w:val="auto"/>
                      <w:kern w:val="0"/>
                      <w:sz w:val="21"/>
                      <w:szCs w:val="21"/>
                    </w:rPr>
                    <w:t>（</w:t>
                  </w:r>
                  <w:r>
                    <w:rPr>
                      <w:rFonts w:eastAsia="新宋体"/>
                      <w:color w:val="auto"/>
                      <w:kern w:val="0"/>
                      <w:sz w:val="21"/>
                      <w:szCs w:val="21"/>
                    </w:rPr>
                    <w:t>r</w:t>
                  </w:r>
                  <w:r>
                    <w:rPr>
                      <w:rFonts w:eastAsia="新宋体"/>
                      <w:color w:val="auto"/>
                      <w:kern w:val="0"/>
                      <w:sz w:val="21"/>
                      <w:szCs w:val="21"/>
                      <w:vertAlign w:val="subscript"/>
                    </w:rPr>
                    <w:t>0</w:t>
                  </w:r>
                  <w:r>
                    <w:rPr>
                      <w:rFonts w:hint="eastAsia" w:eastAsia="新宋体"/>
                      <w:color w:val="auto"/>
                      <w:kern w:val="0"/>
                      <w:sz w:val="21"/>
                      <w:szCs w:val="21"/>
                    </w:rPr>
                    <w:t>）</w:t>
                  </w:r>
                </w:p>
              </w:tc>
              <w:tc>
                <w:tcPr>
                  <w:tcW w:w="1097" w:type="dxa"/>
                  <w:vAlign w:val="center"/>
                </w:tcPr>
                <w:p w14:paraId="52CF0088">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不同距离的声级</w:t>
                  </w:r>
                  <w:r>
                    <w:rPr>
                      <w:rFonts w:eastAsia="新宋体"/>
                      <w:iCs/>
                      <w:color w:val="auto"/>
                      <w:kern w:val="0"/>
                      <w:sz w:val="21"/>
                      <w:szCs w:val="21"/>
                    </w:rPr>
                    <w:t>L</w:t>
                  </w:r>
                  <w:r>
                    <w:rPr>
                      <w:rFonts w:eastAsia="新宋体"/>
                      <w:color w:val="auto"/>
                      <w:kern w:val="0"/>
                      <w:sz w:val="21"/>
                      <w:szCs w:val="21"/>
                      <w:vertAlign w:val="subscript"/>
                    </w:rPr>
                    <w:t>p</w:t>
                  </w:r>
                  <w:r>
                    <w:rPr>
                      <w:rFonts w:hint="eastAsia" w:eastAsia="新宋体"/>
                      <w:color w:val="auto"/>
                      <w:kern w:val="0"/>
                      <w:sz w:val="21"/>
                      <w:szCs w:val="21"/>
                    </w:rPr>
                    <w:t>（</w:t>
                  </w:r>
                  <w:r>
                    <w:rPr>
                      <w:rFonts w:eastAsia="新宋体"/>
                      <w:color w:val="auto"/>
                      <w:kern w:val="0"/>
                      <w:sz w:val="21"/>
                      <w:szCs w:val="21"/>
                    </w:rPr>
                    <w:t>r</w:t>
                  </w:r>
                  <w:r>
                    <w:rPr>
                      <w:rFonts w:hint="eastAsia" w:eastAsia="新宋体"/>
                      <w:color w:val="auto"/>
                      <w:kern w:val="0"/>
                      <w:sz w:val="21"/>
                      <w:szCs w:val="21"/>
                    </w:rPr>
                    <w:t>）</w:t>
                  </w:r>
                </w:p>
              </w:tc>
              <w:tc>
                <w:tcPr>
                  <w:tcW w:w="830" w:type="dxa"/>
                  <w:vAlign w:val="center"/>
                </w:tcPr>
                <w:p w14:paraId="6A5437F2">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kern w:val="0"/>
                      <w:sz w:val="21"/>
                      <w:szCs w:val="21"/>
                    </w:rPr>
                    <w:t>70</w:t>
                  </w:r>
                  <w:r>
                    <w:rPr>
                      <w:rFonts w:eastAsia="新宋体"/>
                      <w:color w:val="auto"/>
                      <w:sz w:val="21"/>
                    </w:rPr>
                    <w:t>dB</w:t>
                  </w:r>
                </w:p>
                <w:p w14:paraId="3BF33740">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830" w:type="dxa"/>
                  <w:vAlign w:val="center"/>
                </w:tcPr>
                <w:p w14:paraId="7C9B6125">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65</w:t>
                  </w:r>
                </w:p>
                <w:p w14:paraId="6FEAD2E8">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1EAA01E6">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832" w:type="dxa"/>
                  <w:vAlign w:val="center"/>
                </w:tcPr>
                <w:p w14:paraId="7B179284">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60</w:t>
                  </w:r>
                </w:p>
                <w:p w14:paraId="525CDA79">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4F362BFF">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830" w:type="dxa"/>
                  <w:vAlign w:val="center"/>
                </w:tcPr>
                <w:p w14:paraId="6C42BFE2">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55</w:t>
                  </w:r>
                </w:p>
                <w:p w14:paraId="57C830AB">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35FFFBCB">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c>
                <w:tcPr>
                  <w:tcW w:w="830" w:type="dxa"/>
                  <w:vAlign w:val="center"/>
                </w:tcPr>
                <w:p w14:paraId="386B7543">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50</w:t>
                  </w:r>
                </w:p>
                <w:p w14:paraId="0D7E4F01">
                  <w:pPr>
                    <w:suppressAutoHyphens/>
                    <w:topLinePunct/>
                    <w:adjustRightInd w:val="0"/>
                    <w:snapToGrid w:val="0"/>
                    <w:spacing w:line="240" w:lineRule="auto"/>
                    <w:ind w:firstLine="0" w:firstLineChars="0"/>
                    <w:jc w:val="center"/>
                    <w:rPr>
                      <w:rFonts w:eastAsia="新宋体"/>
                      <w:color w:val="auto"/>
                      <w:sz w:val="21"/>
                    </w:rPr>
                  </w:pPr>
                  <w:r>
                    <w:rPr>
                      <w:rFonts w:eastAsia="新宋体"/>
                      <w:color w:val="auto"/>
                      <w:sz w:val="21"/>
                    </w:rPr>
                    <w:t>dB</w:t>
                  </w:r>
                </w:p>
                <w:p w14:paraId="41A98DAA">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sz w:val="21"/>
                    </w:rPr>
                    <w:t>（</w:t>
                  </w:r>
                  <w:r>
                    <w:rPr>
                      <w:rFonts w:eastAsia="新宋体"/>
                      <w:color w:val="auto"/>
                      <w:sz w:val="21"/>
                    </w:rPr>
                    <w:t>A</w:t>
                  </w:r>
                  <w:r>
                    <w:rPr>
                      <w:rFonts w:hint="eastAsia" w:eastAsia="新宋体"/>
                      <w:color w:val="auto"/>
                      <w:sz w:val="21"/>
                    </w:rPr>
                    <w:t>）</w:t>
                  </w:r>
                </w:p>
              </w:tc>
            </w:tr>
            <w:tr w14:paraId="0F3E8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155E697C">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挖掘机</w:t>
                  </w:r>
                </w:p>
              </w:tc>
              <w:tc>
                <w:tcPr>
                  <w:tcW w:w="911" w:type="dxa"/>
                  <w:vAlign w:val="center"/>
                </w:tcPr>
                <w:p w14:paraId="62016607">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86</w:t>
                  </w:r>
                </w:p>
              </w:tc>
              <w:tc>
                <w:tcPr>
                  <w:tcW w:w="1097" w:type="dxa"/>
                  <w:vMerge w:val="restart"/>
                  <w:vAlign w:val="center"/>
                </w:tcPr>
                <w:p w14:paraId="6AB40C48">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传播</w:t>
                  </w:r>
                </w:p>
                <w:p w14:paraId="18481C05">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距离</w:t>
                  </w:r>
                </w:p>
                <w:p w14:paraId="2167BAF1">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r</w:t>
                  </w:r>
                  <w:r>
                    <w:rPr>
                      <w:rFonts w:hint="eastAsia" w:eastAsia="新宋体"/>
                      <w:color w:val="auto"/>
                      <w:kern w:val="0"/>
                      <w:sz w:val="21"/>
                      <w:szCs w:val="21"/>
                    </w:rPr>
                    <w:t>（</w:t>
                  </w:r>
                  <w:r>
                    <w:rPr>
                      <w:rFonts w:eastAsia="新宋体"/>
                      <w:color w:val="auto"/>
                      <w:kern w:val="0"/>
                      <w:sz w:val="21"/>
                      <w:szCs w:val="21"/>
                    </w:rPr>
                    <w:t>m</w:t>
                  </w:r>
                  <w:r>
                    <w:rPr>
                      <w:rFonts w:hint="eastAsia" w:eastAsia="新宋体"/>
                      <w:color w:val="auto"/>
                      <w:kern w:val="0"/>
                      <w:sz w:val="21"/>
                      <w:szCs w:val="21"/>
                    </w:rPr>
                    <w:t>）</w:t>
                  </w:r>
                </w:p>
              </w:tc>
              <w:tc>
                <w:tcPr>
                  <w:tcW w:w="830" w:type="dxa"/>
                  <w:vAlign w:val="center"/>
                </w:tcPr>
                <w:p w14:paraId="237B823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6</w:t>
                  </w:r>
                </w:p>
              </w:tc>
              <w:tc>
                <w:tcPr>
                  <w:tcW w:w="830" w:type="dxa"/>
                  <w:vAlign w:val="center"/>
                </w:tcPr>
                <w:p w14:paraId="543E9F6A">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10</w:t>
                  </w:r>
                </w:p>
              </w:tc>
              <w:tc>
                <w:tcPr>
                  <w:tcW w:w="832" w:type="dxa"/>
                  <w:vAlign w:val="center"/>
                </w:tcPr>
                <w:p w14:paraId="01768AE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17</w:t>
                  </w:r>
                </w:p>
              </w:tc>
              <w:tc>
                <w:tcPr>
                  <w:tcW w:w="830" w:type="dxa"/>
                  <w:vAlign w:val="center"/>
                </w:tcPr>
                <w:p w14:paraId="3BBAF717">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30</w:t>
                  </w:r>
                </w:p>
              </w:tc>
              <w:tc>
                <w:tcPr>
                  <w:tcW w:w="830" w:type="dxa"/>
                  <w:vAlign w:val="center"/>
                </w:tcPr>
                <w:p w14:paraId="0EA5F1EB">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48</w:t>
                  </w:r>
                </w:p>
              </w:tc>
            </w:tr>
            <w:tr w14:paraId="67BBEB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6D687065">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ascii="宋体"/>
                      <w:color w:val="auto"/>
                      <w:sz w:val="21"/>
                    </w:rPr>
                    <w:t>砂浆搅拌机</w:t>
                  </w:r>
                  <w:r>
                    <w:rPr>
                      <w:rFonts w:eastAsia="新宋体"/>
                      <w:color w:val="auto"/>
                      <w:kern w:val="0"/>
                      <w:sz w:val="21"/>
                      <w:szCs w:val="21"/>
                    </w:rPr>
                    <w:t>/</w:t>
                  </w:r>
                  <w:r>
                    <w:rPr>
                      <w:rFonts w:hint="eastAsia" w:ascii="宋体"/>
                      <w:color w:val="auto"/>
                      <w:sz w:val="21"/>
                    </w:rPr>
                    <w:t>起重机</w:t>
                  </w:r>
                </w:p>
              </w:tc>
              <w:tc>
                <w:tcPr>
                  <w:tcW w:w="911" w:type="dxa"/>
                  <w:vAlign w:val="center"/>
                </w:tcPr>
                <w:p w14:paraId="5AACBF43">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85</w:t>
                  </w:r>
                </w:p>
              </w:tc>
              <w:tc>
                <w:tcPr>
                  <w:tcW w:w="1097" w:type="dxa"/>
                  <w:vMerge w:val="continue"/>
                  <w:vAlign w:val="center"/>
                </w:tcPr>
                <w:p w14:paraId="30324ED3">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830" w:type="dxa"/>
                  <w:vAlign w:val="center"/>
                </w:tcPr>
                <w:p w14:paraId="1506B432">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5</w:t>
                  </w:r>
                </w:p>
              </w:tc>
              <w:tc>
                <w:tcPr>
                  <w:tcW w:w="830" w:type="dxa"/>
                  <w:vAlign w:val="center"/>
                </w:tcPr>
                <w:p w14:paraId="3D3B96D7">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9</w:t>
                  </w:r>
                </w:p>
              </w:tc>
              <w:tc>
                <w:tcPr>
                  <w:tcW w:w="832" w:type="dxa"/>
                  <w:vAlign w:val="center"/>
                </w:tcPr>
                <w:p w14:paraId="3216842F">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15</w:t>
                  </w:r>
                </w:p>
              </w:tc>
              <w:tc>
                <w:tcPr>
                  <w:tcW w:w="830" w:type="dxa"/>
                  <w:vAlign w:val="center"/>
                </w:tcPr>
                <w:p w14:paraId="24D9BCE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26</w:t>
                  </w:r>
                </w:p>
              </w:tc>
              <w:tc>
                <w:tcPr>
                  <w:tcW w:w="830" w:type="dxa"/>
                  <w:vAlign w:val="center"/>
                </w:tcPr>
                <w:p w14:paraId="50304B0C">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45</w:t>
                  </w:r>
                </w:p>
              </w:tc>
            </w:tr>
            <w:tr w14:paraId="43839E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2F461C56">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静力压桩机</w:t>
                  </w:r>
                </w:p>
              </w:tc>
              <w:tc>
                <w:tcPr>
                  <w:tcW w:w="911" w:type="dxa"/>
                  <w:vAlign w:val="center"/>
                </w:tcPr>
                <w:p w14:paraId="2FB9E7BC">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73</w:t>
                  </w:r>
                </w:p>
              </w:tc>
              <w:tc>
                <w:tcPr>
                  <w:tcW w:w="1097" w:type="dxa"/>
                  <w:vMerge w:val="continue"/>
                  <w:vAlign w:val="center"/>
                </w:tcPr>
                <w:p w14:paraId="09FBDEA2">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830" w:type="dxa"/>
                  <w:vAlign w:val="center"/>
                </w:tcPr>
                <w:p w14:paraId="1E989D55">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w:t>
                  </w:r>
                </w:p>
              </w:tc>
              <w:tc>
                <w:tcPr>
                  <w:tcW w:w="830" w:type="dxa"/>
                  <w:vAlign w:val="center"/>
                </w:tcPr>
                <w:p w14:paraId="5FD88D5C">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w:t>
                  </w:r>
                </w:p>
              </w:tc>
              <w:tc>
                <w:tcPr>
                  <w:tcW w:w="832" w:type="dxa"/>
                  <w:vAlign w:val="center"/>
                </w:tcPr>
                <w:p w14:paraId="11B3E73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w:t>
                  </w:r>
                </w:p>
              </w:tc>
              <w:tc>
                <w:tcPr>
                  <w:tcW w:w="830" w:type="dxa"/>
                  <w:vAlign w:val="center"/>
                </w:tcPr>
                <w:p w14:paraId="3DB97521">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w:t>
                  </w:r>
                </w:p>
              </w:tc>
              <w:tc>
                <w:tcPr>
                  <w:tcW w:w="830" w:type="dxa"/>
                  <w:vAlign w:val="center"/>
                </w:tcPr>
                <w:p w14:paraId="0ECF5885">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13</w:t>
                  </w:r>
                </w:p>
              </w:tc>
            </w:tr>
            <w:tr w14:paraId="460D96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2B64EA46">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eastAsia="新宋体"/>
                      <w:color w:val="auto"/>
                      <w:kern w:val="0"/>
                      <w:sz w:val="21"/>
                      <w:szCs w:val="21"/>
                    </w:rPr>
                    <w:t>混凝土振捣器</w:t>
                  </w:r>
                </w:p>
              </w:tc>
              <w:tc>
                <w:tcPr>
                  <w:tcW w:w="911" w:type="dxa"/>
                  <w:vAlign w:val="center"/>
                </w:tcPr>
                <w:p w14:paraId="597C3B5F">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83</w:t>
                  </w:r>
                </w:p>
              </w:tc>
              <w:tc>
                <w:tcPr>
                  <w:tcW w:w="1097" w:type="dxa"/>
                  <w:vMerge w:val="continue"/>
                  <w:vAlign w:val="center"/>
                </w:tcPr>
                <w:p w14:paraId="0DFE9158">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830" w:type="dxa"/>
                  <w:vAlign w:val="center"/>
                </w:tcPr>
                <w:p w14:paraId="7A1A8AAC">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w:t>
                  </w:r>
                </w:p>
              </w:tc>
              <w:tc>
                <w:tcPr>
                  <w:tcW w:w="830" w:type="dxa"/>
                  <w:vAlign w:val="center"/>
                </w:tcPr>
                <w:p w14:paraId="6746E10B">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w:t>
                  </w:r>
                </w:p>
              </w:tc>
              <w:tc>
                <w:tcPr>
                  <w:tcW w:w="832" w:type="dxa"/>
                  <w:vAlign w:val="center"/>
                </w:tcPr>
                <w:p w14:paraId="253446E1">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13</w:t>
                  </w:r>
                </w:p>
              </w:tc>
              <w:tc>
                <w:tcPr>
                  <w:tcW w:w="830" w:type="dxa"/>
                  <w:vAlign w:val="center"/>
                </w:tcPr>
                <w:p w14:paraId="618FDE15">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21</w:t>
                  </w:r>
                </w:p>
              </w:tc>
              <w:tc>
                <w:tcPr>
                  <w:tcW w:w="830" w:type="dxa"/>
                  <w:vAlign w:val="center"/>
                </w:tcPr>
                <w:p w14:paraId="6747BC3E">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36</w:t>
                  </w:r>
                </w:p>
              </w:tc>
            </w:tr>
            <w:tr w14:paraId="37660C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1264CEDB">
                  <w:pPr>
                    <w:suppressAutoHyphens/>
                    <w:topLinePunct/>
                    <w:adjustRightInd w:val="0"/>
                    <w:snapToGrid w:val="0"/>
                    <w:spacing w:line="240" w:lineRule="auto"/>
                    <w:ind w:firstLine="0" w:firstLineChars="0"/>
                    <w:jc w:val="center"/>
                    <w:rPr>
                      <w:rFonts w:eastAsia="新宋体"/>
                      <w:color w:val="auto"/>
                      <w:kern w:val="0"/>
                      <w:sz w:val="21"/>
                      <w:szCs w:val="21"/>
                    </w:rPr>
                  </w:pPr>
                  <w:r>
                    <w:rPr>
                      <w:rFonts w:hint="eastAsia" w:ascii="宋体"/>
                      <w:color w:val="auto"/>
                      <w:sz w:val="21"/>
                    </w:rPr>
                    <w:t>柴油发电机</w:t>
                  </w:r>
                </w:p>
              </w:tc>
              <w:tc>
                <w:tcPr>
                  <w:tcW w:w="911" w:type="dxa"/>
                  <w:vAlign w:val="center"/>
                </w:tcPr>
                <w:p w14:paraId="40607496">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95</w:t>
                  </w:r>
                </w:p>
              </w:tc>
              <w:tc>
                <w:tcPr>
                  <w:tcW w:w="1097" w:type="dxa"/>
                  <w:vMerge w:val="continue"/>
                  <w:vAlign w:val="center"/>
                </w:tcPr>
                <w:p w14:paraId="4F656DD7">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830" w:type="dxa"/>
                  <w:vAlign w:val="center"/>
                </w:tcPr>
                <w:p w14:paraId="0133B8A9">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15</w:t>
                  </w:r>
                </w:p>
              </w:tc>
              <w:tc>
                <w:tcPr>
                  <w:tcW w:w="830" w:type="dxa"/>
                  <w:vAlign w:val="center"/>
                </w:tcPr>
                <w:p w14:paraId="383FDFEC">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26</w:t>
                  </w:r>
                </w:p>
              </w:tc>
              <w:tc>
                <w:tcPr>
                  <w:tcW w:w="832" w:type="dxa"/>
                  <w:vAlign w:val="center"/>
                </w:tcPr>
                <w:p w14:paraId="057E20E1">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44</w:t>
                  </w:r>
                </w:p>
              </w:tc>
              <w:tc>
                <w:tcPr>
                  <w:tcW w:w="830" w:type="dxa"/>
                  <w:vAlign w:val="center"/>
                </w:tcPr>
                <w:p w14:paraId="52C002E5">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72</w:t>
                  </w:r>
                </w:p>
              </w:tc>
              <w:tc>
                <w:tcPr>
                  <w:tcW w:w="830" w:type="dxa"/>
                  <w:vAlign w:val="center"/>
                </w:tcPr>
                <w:p w14:paraId="2B3BFD02">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110</w:t>
                  </w:r>
                </w:p>
              </w:tc>
            </w:tr>
            <w:tr w14:paraId="278A20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7" w:type="dxa"/>
                  <w:vAlign w:val="center"/>
                </w:tcPr>
                <w:p w14:paraId="60EEA52A">
                  <w:pPr>
                    <w:suppressAutoHyphens/>
                    <w:topLinePunct/>
                    <w:adjustRightInd w:val="0"/>
                    <w:snapToGrid w:val="0"/>
                    <w:spacing w:line="240" w:lineRule="auto"/>
                    <w:ind w:firstLine="0" w:firstLineChars="0"/>
                    <w:jc w:val="center"/>
                    <w:rPr>
                      <w:rFonts w:ascii="宋体"/>
                      <w:color w:val="auto"/>
                      <w:sz w:val="21"/>
                    </w:rPr>
                  </w:pPr>
                  <w:r>
                    <w:rPr>
                      <w:rFonts w:hint="eastAsia" w:ascii="宋体"/>
                      <w:color w:val="auto"/>
                      <w:sz w:val="21"/>
                    </w:rPr>
                    <w:t>空压机</w:t>
                  </w:r>
                </w:p>
              </w:tc>
              <w:tc>
                <w:tcPr>
                  <w:tcW w:w="911" w:type="dxa"/>
                  <w:vAlign w:val="center"/>
                </w:tcPr>
                <w:p w14:paraId="3E4335A4">
                  <w:pPr>
                    <w:suppressAutoHyphens/>
                    <w:topLinePunct/>
                    <w:adjustRightInd w:val="0"/>
                    <w:snapToGrid w:val="0"/>
                    <w:spacing w:line="240" w:lineRule="auto"/>
                    <w:ind w:firstLine="0" w:firstLineChars="0"/>
                    <w:jc w:val="center"/>
                    <w:rPr>
                      <w:rFonts w:eastAsia="新宋体"/>
                      <w:color w:val="auto"/>
                      <w:kern w:val="0"/>
                      <w:sz w:val="21"/>
                      <w:szCs w:val="21"/>
                    </w:rPr>
                  </w:pPr>
                  <w:r>
                    <w:rPr>
                      <w:rFonts w:eastAsia="新宋体"/>
                      <w:color w:val="auto"/>
                      <w:kern w:val="0"/>
                      <w:sz w:val="21"/>
                      <w:szCs w:val="21"/>
                    </w:rPr>
                    <w:t>88</w:t>
                  </w:r>
                </w:p>
              </w:tc>
              <w:tc>
                <w:tcPr>
                  <w:tcW w:w="1097" w:type="dxa"/>
                  <w:vMerge w:val="continue"/>
                  <w:vAlign w:val="center"/>
                </w:tcPr>
                <w:p w14:paraId="336DB84F">
                  <w:pPr>
                    <w:suppressAutoHyphens/>
                    <w:topLinePunct/>
                    <w:adjustRightInd w:val="0"/>
                    <w:snapToGrid w:val="0"/>
                    <w:spacing w:line="240" w:lineRule="auto"/>
                    <w:ind w:firstLine="0" w:firstLineChars="0"/>
                    <w:jc w:val="center"/>
                    <w:rPr>
                      <w:rFonts w:eastAsia="新宋体"/>
                      <w:color w:val="auto"/>
                      <w:kern w:val="0"/>
                      <w:sz w:val="21"/>
                      <w:szCs w:val="21"/>
                    </w:rPr>
                  </w:pPr>
                </w:p>
              </w:tc>
              <w:tc>
                <w:tcPr>
                  <w:tcW w:w="830" w:type="dxa"/>
                  <w:vAlign w:val="center"/>
                </w:tcPr>
                <w:p w14:paraId="13447F7A">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7</w:t>
                  </w:r>
                </w:p>
              </w:tc>
              <w:tc>
                <w:tcPr>
                  <w:tcW w:w="830" w:type="dxa"/>
                  <w:vAlign w:val="center"/>
                </w:tcPr>
                <w:p w14:paraId="45DB1774">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13</w:t>
                  </w:r>
                </w:p>
              </w:tc>
              <w:tc>
                <w:tcPr>
                  <w:tcW w:w="832" w:type="dxa"/>
                  <w:vAlign w:val="center"/>
                </w:tcPr>
                <w:p w14:paraId="011F9676">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21</w:t>
                  </w:r>
                </w:p>
              </w:tc>
              <w:tc>
                <w:tcPr>
                  <w:tcW w:w="830" w:type="dxa"/>
                  <w:vAlign w:val="center"/>
                </w:tcPr>
                <w:p w14:paraId="33DBCDC3">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36</w:t>
                  </w:r>
                </w:p>
              </w:tc>
              <w:tc>
                <w:tcPr>
                  <w:tcW w:w="830" w:type="dxa"/>
                  <w:vAlign w:val="center"/>
                </w:tcPr>
                <w:p w14:paraId="127181B8">
                  <w:pPr>
                    <w:suppressAutoHyphens/>
                    <w:topLinePunct/>
                    <w:adjustRightInd w:val="0"/>
                    <w:snapToGrid w:val="0"/>
                    <w:spacing w:line="240" w:lineRule="auto"/>
                    <w:ind w:firstLine="0" w:firstLineChars="0"/>
                    <w:jc w:val="center"/>
                    <w:rPr>
                      <w:rFonts w:eastAsia="新宋体"/>
                      <w:color w:val="auto"/>
                      <w:sz w:val="21"/>
                      <w:szCs w:val="21"/>
                    </w:rPr>
                  </w:pPr>
                  <w:r>
                    <w:rPr>
                      <w:rFonts w:hint="eastAsia" w:eastAsia="新宋体"/>
                      <w:color w:val="auto"/>
                      <w:sz w:val="21"/>
                      <w:szCs w:val="21"/>
                    </w:rPr>
                    <w:t>59</w:t>
                  </w:r>
                </w:p>
              </w:tc>
            </w:tr>
          </w:tbl>
          <w:p w14:paraId="7910E72E">
            <w:pPr>
              <w:suppressAutoHyphens/>
              <w:topLinePunct/>
              <w:adjustRightInd w:val="0"/>
              <w:snapToGrid w:val="0"/>
              <w:spacing w:line="240" w:lineRule="auto"/>
              <w:ind w:firstLine="0" w:firstLineChars="0"/>
              <w:rPr>
                <w:color w:val="auto"/>
                <w:szCs w:val="20"/>
              </w:rPr>
            </w:pPr>
            <w:r>
              <w:rPr>
                <w:rFonts w:hint="eastAsia"/>
                <w:color w:val="auto"/>
                <w:sz w:val="21"/>
                <w:szCs w:val="16"/>
              </w:rPr>
              <w:t>注：施工设备噪声源强引自《环境噪声与振动控制工程技术导则》（</w:t>
            </w:r>
            <w:r>
              <w:rPr>
                <w:color w:val="auto"/>
                <w:sz w:val="21"/>
                <w:szCs w:val="16"/>
              </w:rPr>
              <w:t>HJ 2034-2013</w:t>
            </w:r>
            <w:r>
              <w:rPr>
                <w:rFonts w:hint="eastAsia"/>
                <w:color w:val="auto"/>
                <w:sz w:val="21"/>
                <w:szCs w:val="16"/>
              </w:rPr>
              <w:t>）及结合项目特点，其中</w:t>
            </w:r>
            <w:r>
              <w:rPr>
                <w:i/>
                <w:iCs/>
                <w:color w:val="auto"/>
                <w:sz w:val="21"/>
                <w:szCs w:val="16"/>
              </w:rPr>
              <w:t>Lp</w:t>
            </w:r>
            <w:r>
              <w:rPr>
                <w:rFonts w:hint="eastAsia"/>
                <w:i/>
                <w:iCs/>
                <w:color w:val="auto"/>
                <w:sz w:val="21"/>
                <w:szCs w:val="16"/>
              </w:rPr>
              <w:t>（</w:t>
            </w:r>
            <w:r>
              <w:rPr>
                <w:i/>
                <w:iCs/>
                <w:color w:val="auto"/>
                <w:sz w:val="21"/>
                <w:szCs w:val="16"/>
              </w:rPr>
              <w:t>r0</w:t>
            </w:r>
            <w:r>
              <w:rPr>
                <w:rFonts w:hint="eastAsia"/>
                <w:i/>
                <w:iCs/>
                <w:color w:val="auto"/>
                <w:sz w:val="21"/>
                <w:szCs w:val="16"/>
              </w:rPr>
              <w:t>）</w:t>
            </w:r>
            <w:r>
              <w:rPr>
                <w:rFonts w:hint="eastAsia"/>
                <w:color w:val="auto"/>
                <w:sz w:val="21"/>
                <w:szCs w:val="16"/>
              </w:rPr>
              <w:t>取距声源</w:t>
            </w:r>
            <w:r>
              <w:rPr>
                <w:color w:val="auto"/>
                <w:sz w:val="21"/>
                <w:szCs w:val="16"/>
              </w:rPr>
              <w:t>5m</w:t>
            </w:r>
            <w:r>
              <w:rPr>
                <w:rFonts w:hint="eastAsia"/>
                <w:color w:val="auto"/>
                <w:sz w:val="21"/>
                <w:szCs w:val="16"/>
              </w:rPr>
              <w:t>处声压级，</w:t>
            </w:r>
            <w:r>
              <w:rPr>
                <w:color w:val="auto"/>
                <w:sz w:val="21"/>
                <w:szCs w:val="16"/>
              </w:rPr>
              <w:t>r</w:t>
            </w:r>
            <w:r>
              <w:rPr>
                <w:rFonts w:hint="eastAsia"/>
                <w:color w:val="auto"/>
                <w:sz w:val="21"/>
                <w:szCs w:val="16"/>
              </w:rPr>
              <w:t>为衰减至固定声压级时预测点距声源的距离；围档降噪效果按15分贝计。</w:t>
            </w:r>
          </w:p>
          <w:p w14:paraId="10EAC460">
            <w:pPr>
              <w:adjustRightInd w:val="0"/>
              <w:snapToGrid w:val="0"/>
              <w:ind w:firstLine="480"/>
              <w:rPr>
                <w:color w:val="auto"/>
                <w:kern w:val="0"/>
              </w:rPr>
            </w:pPr>
            <w:r>
              <w:rPr>
                <w:rFonts w:hint="eastAsia"/>
                <w:color w:val="auto"/>
                <w:kern w:val="0"/>
              </w:rPr>
              <w:t>施工设备通常机械噪声一般为间断性噪声，在不采取措施的情况下影响距离约7~72m。施工单位应尽量选用低噪声施工设备，高噪声设备尽量远离敏感目标布置，禁止夜间施工，并采取设置临时隔声围档（</w:t>
            </w:r>
            <w:r>
              <w:rPr>
                <w:rFonts w:hint="eastAsia" w:cs="宋体"/>
                <w:bCs/>
                <w:color w:val="auto"/>
                <w:szCs w:val="21"/>
              </w:rPr>
              <w:t>隔声量约为</w:t>
            </w:r>
            <w:r>
              <w:rPr>
                <w:rFonts w:hint="eastAsia"/>
                <w:color w:val="auto"/>
              </w:rPr>
              <w:t>15dB(A)</w:t>
            </w:r>
            <w:r>
              <w:rPr>
                <w:rFonts w:hint="eastAsia"/>
                <w:color w:val="auto"/>
                <w:kern w:val="0"/>
              </w:rPr>
              <w:t>）等措施后</w:t>
            </w:r>
            <w:r>
              <w:rPr>
                <w:rFonts w:hint="eastAsia" w:cs="宋体"/>
                <w:bCs/>
                <w:color w:val="auto"/>
                <w:szCs w:val="21"/>
              </w:rPr>
              <w:t>在距离施工设备</w:t>
            </w:r>
            <w:r>
              <w:rPr>
                <w:rFonts w:cs="宋体"/>
                <w:bCs/>
                <w:color w:val="auto"/>
                <w:szCs w:val="21"/>
              </w:rPr>
              <w:t>2</w:t>
            </w:r>
            <w:r>
              <w:rPr>
                <w:rFonts w:hint="eastAsia" w:cs="宋体"/>
                <w:bCs/>
                <w:color w:val="auto"/>
                <w:szCs w:val="21"/>
              </w:rPr>
              <w:t>～</w:t>
            </w:r>
            <w:r>
              <w:rPr>
                <w:rFonts w:cs="宋体"/>
                <w:bCs/>
                <w:color w:val="auto"/>
                <w:szCs w:val="21"/>
              </w:rPr>
              <w:t>15m</w:t>
            </w:r>
            <w:r>
              <w:rPr>
                <w:rFonts w:hint="eastAsia" w:cs="宋体"/>
                <w:bCs/>
                <w:color w:val="auto"/>
                <w:szCs w:val="21"/>
              </w:rPr>
              <w:t>处</w:t>
            </w:r>
            <w:r>
              <w:rPr>
                <w:rFonts w:hint="eastAsia"/>
                <w:color w:val="auto"/>
                <w:kern w:val="0"/>
              </w:rPr>
              <w:t>满足《建筑施工噪声排放标准》（GB 12523-2025）要求。为尽量减少柴油发电机噪声的影响范围，要求设置使用低噪声柴油发电机，并设置加厚围档。</w:t>
            </w:r>
          </w:p>
          <w:p w14:paraId="40453F68">
            <w:pPr>
              <w:adjustRightInd w:val="0"/>
              <w:snapToGrid w:val="0"/>
              <w:ind w:firstLine="482"/>
              <w:jc w:val="left"/>
              <w:rPr>
                <w:b/>
                <w:bCs/>
                <w:color w:val="auto"/>
                <w:kern w:val="0"/>
              </w:rPr>
            </w:pPr>
            <w:r>
              <w:rPr>
                <w:b/>
                <w:bCs/>
                <w:color w:val="auto"/>
                <w:kern w:val="0"/>
              </w:rPr>
              <w:t>5、固废</w:t>
            </w:r>
          </w:p>
          <w:p w14:paraId="3B9E61C2">
            <w:pPr>
              <w:ind w:firstLine="480"/>
              <w:rPr>
                <w:color w:val="auto"/>
              </w:rPr>
            </w:pPr>
            <w:r>
              <w:rPr>
                <w:color w:val="auto"/>
              </w:rPr>
              <w:t>施工期产生的固体废弃物为工程施工产生挖掘的土方、施工建筑垃圾、施工人员生活垃圾等。</w:t>
            </w:r>
          </w:p>
          <w:p w14:paraId="4619154F">
            <w:pPr>
              <w:ind w:firstLine="480"/>
              <w:rPr>
                <w:color w:val="auto"/>
              </w:rPr>
            </w:pPr>
            <w:r>
              <w:rPr>
                <w:rFonts w:hint="eastAsia"/>
                <w:color w:val="auto"/>
              </w:rPr>
              <w:t>（1）土石方</w:t>
            </w:r>
          </w:p>
          <w:p w14:paraId="4B535CA1">
            <w:pPr>
              <w:ind w:firstLine="480"/>
              <w:rPr>
                <w:color w:val="auto"/>
              </w:rPr>
            </w:pPr>
            <w:r>
              <w:rPr>
                <w:color w:val="auto"/>
              </w:rPr>
              <w:t>根据主体设计资料分析及现场踏勘复核，本</w:t>
            </w:r>
            <w:r>
              <w:rPr>
                <w:rFonts w:hint="eastAsia"/>
                <w:color w:val="auto"/>
              </w:rPr>
              <w:t>工程土石方开挖总量8.89万m</w:t>
            </w:r>
            <w:r>
              <w:rPr>
                <w:color w:val="auto"/>
              </w:rPr>
              <w:t>³</w:t>
            </w:r>
            <w:r>
              <w:rPr>
                <w:rFonts w:hint="eastAsia"/>
                <w:color w:val="auto"/>
              </w:rPr>
              <w:t>（自然方，下同，其中表土剥离0.81万m</w:t>
            </w:r>
            <w:r>
              <w:rPr>
                <w:color w:val="auto"/>
              </w:rPr>
              <w:t>³</w:t>
            </w:r>
            <w:r>
              <w:rPr>
                <w:rFonts w:hint="eastAsia"/>
                <w:color w:val="auto"/>
              </w:rPr>
              <w:t>），填方总量8.89万m</w:t>
            </w:r>
            <w:r>
              <w:rPr>
                <w:color w:val="auto"/>
              </w:rPr>
              <w:t>³</w:t>
            </w:r>
            <w:r>
              <w:rPr>
                <w:rFonts w:hint="eastAsia"/>
                <w:color w:val="auto"/>
              </w:rPr>
              <w:t>（其中表土回覆0.81万m</w:t>
            </w:r>
            <w:r>
              <w:rPr>
                <w:color w:val="auto"/>
              </w:rPr>
              <w:t>³</w:t>
            </w:r>
            <w:r>
              <w:rPr>
                <w:rFonts w:hint="eastAsia"/>
                <w:color w:val="auto"/>
              </w:rPr>
              <w:t>），无借方，无弃方。</w:t>
            </w:r>
          </w:p>
          <w:p w14:paraId="581559AA">
            <w:pPr>
              <w:ind w:firstLine="480"/>
              <w:rPr>
                <w:color w:val="auto"/>
              </w:rPr>
            </w:pPr>
            <w:r>
              <w:rPr>
                <w:color w:val="auto"/>
              </w:rPr>
              <w:t>（</w:t>
            </w:r>
            <w:r>
              <w:rPr>
                <w:rFonts w:hint="eastAsia"/>
                <w:color w:val="auto"/>
              </w:rPr>
              <w:t>2</w:t>
            </w:r>
            <w:r>
              <w:rPr>
                <w:color w:val="auto"/>
              </w:rPr>
              <w:t>）生活垃圾</w:t>
            </w:r>
          </w:p>
          <w:p w14:paraId="461DAC0B">
            <w:pPr>
              <w:ind w:firstLine="480"/>
              <w:rPr>
                <w:color w:val="auto"/>
              </w:rPr>
            </w:pPr>
            <w:r>
              <w:rPr>
                <w:color w:val="auto"/>
              </w:rPr>
              <w:t>施工高峰期施工人员约</w:t>
            </w:r>
            <w:r>
              <w:rPr>
                <w:rFonts w:hint="eastAsia"/>
                <w:color w:val="auto"/>
              </w:rPr>
              <w:t>50</w:t>
            </w:r>
            <w:r>
              <w:rPr>
                <w:color w:val="auto"/>
              </w:rPr>
              <w:t>人，产生的生活垃圾按0.5kg/</w:t>
            </w:r>
            <w:r>
              <w:rPr>
                <w:rFonts w:hint="eastAsia"/>
                <w:color w:val="auto"/>
              </w:rPr>
              <w:t>（</w:t>
            </w:r>
            <w:r>
              <w:rPr>
                <w:color w:val="auto"/>
              </w:rPr>
              <w:t>人·d</w:t>
            </w:r>
            <w:r>
              <w:rPr>
                <w:rFonts w:hint="eastAsia"/>
                <w:color w:val="auto"/>
              </w:rPr>
              <w:t>）</w:t>
            </w:r>
            <w:r>
              <w:rPr>
                <w:color w:val="auto"/>
              </w:rPr>
              <w:t>计算，垃圾产生量为</w:t>
            </w:r>
            <w:r>
              <w:rPr>
                <w:rFonts w:hint="eastAsia"/>
                <w:color w:val="auto"/>
              </w:rPr>
              <w:t>25</w:t>
            </w:r>
            <w:r>
              <w:rPr>
                <w:color w:val="auto"/>
              </w:rPr>
              <w:t>kg/d。生活垃圾如不妥善处理会引起细菌、蚊蝇的大量繁殖，导致当地传染病发病率的提高和易于传播，垃圾带来的恶臭气味会影响当地村民和施工人员的生活和健康，但只要采取适当措施，禁止施工人员随意倾倒垃圾，本项目生活垃圾纳入</w:t>
            </w:r>
            <w:r>
              <w:rPr>
                <w:rFonts w:hint="eastAsia"/>
                <w:color w:val="auto"/>
              </w:rPr>
              <w:t>通江县铁佛镇</w:t>
            </w:r>
            <w:r>
              <w:rPr>
                <w:color w:val="auto"/>
              </w:rPr>
              <w:t>垃圾处理系统统一收集处理，故生活垃圾对当地卫生环境影响不大。</w:t>
            </w:r>
          </w:p>
          <w:p w14:paraId="7B5E014D">
            <w:pPr>
              <w:ind w:firstLine="480"/>
              <w:rPr>
                <w:color w:val="auto"/>
              </w:rPr>
            </w:pPr>
            <w:r>
              <w:rPr>
                <w:rFonts w:hint="eastAsia"/>
                <w:color w:val="auto"/>
              </w:rPr>
              <w:t>（3）</w:t>
            </w:r>
            <w:r>
              <w:rPr>
                <w:color w:val="auto"/>
              </w:rPr>
              <w:t>建筑垃圾</w:t>
            </w:r>
          </w:p>
          <w:p w14:paraId="6064E8F9">
            <w:pPr>
              <w:ind w:firstLine="480"/>
              <w:rPr>
                <w:color w:val="auto"/>
              </w:rPr>
            </w:pPr>
            <w:r>
              <w:rPr>
                <w:color w:val="auto"/>
              </w:rPr>
              <w:t>项目建筑垃圾主要来自施工作业，包括修复排水沟及截水沟拆除的混凝土、基础开挖产生的砂石及石块、施工产生的废水泥、废木料、废钢筋等杂物，如不及时处理不仅有碍观瞻，影响景观，且在遇大风及干燥天气时将产生扬尘。施工单位应在施工现场设置建筑废弃物临时堆场</w:t>
            </w:r>
            <w:r>
              <w:rPr>
                <w:rFonts w:hint="eastAsia"/>
                <w:color w:val="auto"/>
              </w:rPr>
              <w:t>标识牌</w:t>
            </w:r>
            <w:r>
              <w:rPr>
                <w:color w:val="auto"/>
              </w:rPr>
              <w:t>并进行防雨、防泄漏处理，临时堆场设置在用地范围内。施工生产的废料首先应考虑度料的回收利用</w:t>
            </w:r>
            <w:r>
              <w:rPr>
                <w:rFonts w:hint="eastAsia"/>
                <w:color w:val="auto"/>
              </w:rPr>
              <w:t>，</w:t>
            </w:r>
            <w:r>
              <w:rPr>
                <w:color w:val="auto"/>
              </w:rPr>
              <w:t>对钢筋、钢板、木材等</w:t>
            </w:r>
            <w:r>
              <w:rPr>
                <w:rFonts w:hint="eastAsia"/>
                <w:color w:val="auto"/>
              </w:rPr>
              <w:t>下脚料</w:t>
            </w:r>
            <w:r>
              <w:rPr>
                <w:color w:val="auto"/>
              </w:rPr>
              <w:t>可分类回收，交废物收购站处理</w:t>
            </w:r>
            <w:r>
              <w:rPr>
                <w:rFonts w:hint="eastAsia"/>
                <w:color w:val="auto"/>
              </w:rPr>
              <w:t>；</w:t>
            </w:r>
            <w:r>
              <w:rPr>
                <w:color w:val="auto"/>
              </w:rPr>
              <w:t>对不能回收的建筑垃圾，如混凝土废料、含砖、砂石等及时清运到政府部门指定的建筑垃圾堆放场，严禁随意倾倒、填埋，从而可以避免工程废料造成二次污染。</w:t>
            </w:r>
          </w:p>
          <w:p w14:paraId="7D5C1890">
            <w:pPr>
              <w:ind w:firstLine="480"/>
              <w:rPr>
                <w:color w:val="auto"/>
              </w:rPr>
            </w:pPr>
            <w:r>
              <w:rPr>
                <w:rFonts w:hint="eastAsia"/>
                <w:color w:val="auto"/>
              </w:rPr>
              <w:t>（4）危险废物</w:t>
            </w:r>
          </w:p>
          <w:p w14:paraId="52A1431F">
            <w:pPr>
              <w:ind w:firstLine="480"/>
              <w:rPr>
                <w:color w:val="auto"/>
              </w:rPr>
            </w:pPr>
            <w:r>
              <w:rPr>
                <w:rFonts w:hint="eastAsia"/>
                <w:color w:val="auto"/>
              </w:rPr>
              <w:t>本项目不设机械维修厂，充分利用通江县社会化的机械维修厂，产生的废油由机械维修厂统一处置。</w:t>
            </w:r>
          </w:p>
          <w:p w14:paraId="621A12F9">
            <w:pPr>
              <w:ind w:firstLine="480"/>
              <w:rPr>
                <w:color w:val="auto"/>
              </w:rPr>
            </w:pPr>
            <w:r>
              <w:rPr>
                <w:color w:val="auto"/>
              </w:rPr>
              <w:t>综上所述，本项目施工期产生的固体废弃物去向明确，且都可以得到妥善</w:t>
            </w:r>
            <w:r>
              <w:rPr>
                <w:rFonts w:hint="eastAsia"/>
                <w:color w:val="auto"/>
              </w:rPr>
              <w:t>地</w:t>
            </w:r>
            <w:r>
              <w:rPr>
                <w:color w:val="auto"/>
              </w:rPr>
              <w:t>处理，不会对周围环境产生明显不利影响。</w:t>
            </w:r>
          </w:p>
        </w:tc>
      </w:tr>
      <w:tr w14:paraId="7A478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8" w:hRule="atLeast"/>
          <w:jc w:val="center"/>
        </w:trPr>
        <w:tc>
          <w:tcPr>
            <w:tcW w:w="879" w:type="dxa"/>
            <w:tcMar>
              <w:left w:w="28" w:type="dxa"/>
              <w:right w:w="28" w:type="dxa"/>
            </w:tcMar>
            <w:vAlign w:val="center"/>
          </w:tcPr>
          <w:p w14:paraId="26602A78">
            <w:pPr>
              <w:adjustRightInd w:val="0"/>
              <w:snapToGrid w:val="0"/>
              <w:ind w:firstLine="0" w:firstLineChars="0"/>
              <w:rPr>
                <w:color w:val="auto"/>
                <w:kern w:val="0"/>
              </w:rPr>
            </w:pPr>
            <w:r>
              <w:rPr>
                <w:color w:val="auto"/>
                <w:kern w:val="0"/>
              </w:rPr>
              <w:t>运营期生态环境影响分析</w:t>
            </w:r>
          </w:p>
        </w:tc>
        <w:tc>
          <w:tcPr>
            <w:tcW w:w="8363" w:type="dxa"/>
          </w:tcPr>
          <w:p w14:paraId="6E6263F5">
            <w:pPr>
              <w:numPr>
                <w:ilvl w:val="0"/>
                <w:numId w:val="0"/>
              </w:numPr>
              <w:ind w:firstLine="240" w:firstLineChars="100"/>
              <w:rPr>
                <w:rFonts w:hint="eastAsia"/>
                <w:color w:val="auto"/>
                <w:kern w:val="0"/>
                <w:lang w:val="en-US" w:eastAsia="zh-CN"/>
              </w:rPr>
            </w:pPr>
            <w:r>
              <w:rPr>
                <w:rFonts w:hint="eastAsia"/>
                <w:color w:val="auto"/>
                <w:kern w:val="0"/>
                <w:lang w:val="en-US" w:eastAsia="zh-CN"/>
              </w:rPr>
              <w:t>（1）水环境影响</w:t>
            </w:r>
          </w:p>
          <w:p w14:paraId="371036AB">
            <w:pPr>
              <w:adjustRightInd w:val="0"/>
              <w:snapToGrid w:val="0"/>
              <w:ind w:firstLine="480"/>
              <w:rPr>
                <w:rFonts w:hint="default"/>
                <w:color w:val="auto"/>
                <w:kern w:val="0"/>
                <w:lang w:val="en-US" w:eastAsia="zh-CN"/>
              </w:rPr>
            </w:pPr>
            <w:r>
              <w:rPr>
                <w:rFonts w:hint="eastAsia"/>
                <w:color w:val="auto"/>
                <w:lang w:val="en-US" w:eastAsia="zh-CN"/>
              </w:rPr>
              <w:t>库区水文情势影响：</w:t>
            </w:r>
            <w:r>
              <w:rPr>
                <w:rFonts w:hint="eastAsia"/>
                <w:color w:val="auto"/>
              </w:rPr>
              <w:t>三座水库现状取水量合计为358.38万m</w:t>
            </w:r>
            <w:r>
              <w:rPr>
                <w:rFonts w:hint="eastAsia"/>
                <w:color w:val="auto"/>
                <w:vertAlign w:val="superscript"/>
              </w:rPr>
              <w:t>3</w:t>
            </w:r>
            <w:r>
              <w:rPr>
                <w:rFonts w:hint="eastAsia"/>
                <w:color w:val="auto"/>
              </w:rPr>
              <w:t>/a。工程建成后，丰水年、平水年和枯水年调节供水量分别为444.16万m</w:t>
            </w:r>
            <w:r>
              <w:rPr>
                <w:rFonts w:hint="eastAsia"/>
                <w:color w:val="auto"/>
                <w:vertAlign w:val="superscript"/>
              </w:rPr>
              <w:t>3</w:t>
            </w:r>
            <w:r>
              <w:rPr>
                <w:rFonts w:hint="eastAsia"/>
                <w:color w:val="auto"/>
              </w:rPr>
              <w:t>/a、451.09万m</w:t>
            </w:r>
            <w:r>
              <w:rPr>
                <w:rFonts w:hint="eastAsia"/>
                <w:color w:val="auto"/>
                <w:vertAlign w:val="superscript"/>
              </w:rPr>
              <w:t>3</w:t>
            </w:r>
            <w:r>
              <w:rPr>
                <w:rFonts w:hint="eastAsia"/>
                <w:color w:val="auto"/>
              </w:rPr>
              <w:t>/a和359.22万m</w:t>
            </w:r>
            <w:r>
              <w:rPr>
                <w:rFonts w:hint="eastAsia"/>
                <w:color w:val="auto"/>
                <w:vertAlign w:val="superscript"/>
              </w:rPr>
              <w:t>3</w:t>
            </w:r>
            <w:r>
              <w:rPr>
                <w:rFonts w:hint="eastAsia"/>
                <w:color w:val="auto"/>
              </w:rPr>
              <w:t>/a，较现状分别增加85.78万m</w:t>
            </w:r>
            <w:r>
              <w:rPr>
                <w:rFonts w:hint="eastAsia"/>
                <w:color w:val="auto"/>
                <w:vertAlign w:val="superscript"/>
              </w:rPr>
              <w:t>3</w:t>
            </w:r>
            <w:r>
              <w:rPr>
                <w:rFonts w:hint="eastAsia"/>
                <w:color w:val="auto"/>
              </w:rPr>
              <w:t>/a、92.71万m</w:t>
            </w:r>
            <w:r>
              <w:rPr>
                <w:rFonts w:hint="eastAsia"/>
                <w:color w:val="auto"/>
                <w:vertAlign w:val="superscript"/>
              </w:rPr>
              <w:t>3</w:t>
            </w:r>
            <w:r>
              <w:rPr>
                <w:rFonts w:hint="eastAsia"/>
                <w:color w:val="auto"/>
              </w:rPr>
              <w:t>/a和0.84万m</w:t>
            </w:r>
            <w:r>
              <w:rPr>
                <w:rFonts w:hint="eastAsia"/>
                <w:color w:val="auto"/>
                <w:vertAlign w:val="superscript"/>
              </w:rPr>
              <w:t>3</w:t>
            </w:r>
            <w:r>
              <w:rPr>
                <w:rFonts w:hint="eastAsia"/>
                <w:color w:val="auto"/>
              </w:rPr>
              <w:t>/a，增幅分别为23.9%、25.9%和0.2%。从年内用水过程看，灌溉取水随作物生长期变化，主要集中在春末至夏初，5~6月为取水强度较大的时段；生活供水则全年连续、月际变化相对较小。因此，流里河水库和澌溪沟水库的取水影响主要表现为灌溉集中期库水位阶段性消落，流里河水库丰、平、枯水年5~6月水位分别消落4.6m、4.1m和3.9m，澌溪沟水库丰、平、枯水年该时段水位分别消落4.7m、5.7m和5.8 m。王家河水库新增生活供水则形成全年连续的基础取水负荷，丰、平、枯典型年1月~6月累计消落4.4m、3.4m和4.3m，表明在连续供水与非汛期来水偏少的共同作用下，库水位呈现持续消落特征</w:t>
            </w:r>
            <w:r>
              <w:rPr>
                <w:rFonts w:hint="eastAsia"/>
                <w:color w:val="auto"/>
                <w:lang w:eastAsia="zh-CN"/>
              </w:rPr>
              <w:t>，</w:t>
            </w:r>
            <w:r>
              <w:rPr>
                <w:rFonts w:hint="eastAsia"/>
                <w:color w:val="auto"/>
                <w:lang w:val="en-US" w:eastAsia="zh-CN"/>
              </w:rPr>
              <w:t>与三个水库现状消落趋势相似</w:t>
            </w:r>
            <w:r>
              <w:rPr>
                <w:rFonts w:hint="eastAsia"/>
                <w:color w:val="auto"/>
              </w:rPr>
              <w:t>。</w:t>
            </w:r>
          </w:p>
          <w:p w14:paraId="4DCA67F2">
            <w:pPr>
              <w:adjustRightInd w:val="0"/>
              <w:snapToGrid w:val="0"/>
              <w:ind w:firstLine="480"/>
              <w:rPr>
                <w:rFonts w:hint="default" w:eastAsia="宋体"/>
                <w:color w:val="auto"/>
                <w:kern w:val="0"/>
                <w:lang w:val="en-US" w:eastAsia="zh-CN"/>
              </w:rPr>
            </w:pPr>
            <w:r>
              <w:rPr>
                <w:rFonts w:hint="eastAsia"/>
                <w:color w:val="auto"/>
                <w:kern w:val="0"/>
                <w:lang w:val="en-US" w:eastAsia="zh-CN"/>
              </w:rPr>
              <w:t>水库坝下水文情势影响：</w:t>
            </w:r>
            <w:r>
              <w:rPr>
                <w:rFonts w:hint="eastAsia"/>
                <w:color w:val="auto"/>
                <w:kern w:val="0"/>
              </w:rPr>
              <w:t>经预测本项目运行对</w:t>
            </w:r>
            <w:r>
              <w:rPr>
                <w:color w:val="auto"/>
              </w:rPr>
              <w:t>流里河水库</w:t>
            </w:r>
            <w:r>
              <w:rPr>
                <w:rFonts w:hint="eastAsia"/>
                <w:color w:val="auto"/>
              </w:rPr>
              <w:t>、</w:t>
            </w:r>
            <w:r>
              <w:rPr>
                <w:color w:val="auto"/>
              </w:rPr>
              <w:t>王家河水库</w:t>
            </w:r>
            <w:r>
              <w:rPr>
                <w:rFonts w:hint="eastAsia"/>
                <w:color w:val="auto"/>
              </w:rPr>
              <w:t>、</w:t>
            </w:r>
            <w:r>
              <w:rPr>
                <w:color w:val="auto"/>
              </w:rPr>
              <w:t>澌溪沟水库下游断面</w:t>
            </w:r>
            <w:r>
              <w:rPr>
                <w:rFonts w:hint="eastAsia"/>
                <w:color w:val="auto"/>
              </w:rPr>
              <w:t>水文情势的影响较小，采取措施下泄生态流量，不会造成下游河道断流。退水流量占来水流量的比例不足1%，对通江受水区的水文情势影响程度很小</w:t>
            </w:r>
            <w:r>
              <w:rPr>
                <w:color w:val="auto"/>
              </w:rPr>
              <w:t>。</w:t>
            </w:r>
          </w:p>
          <w:p w14:paraId="5544131F">
            <w:pPr>
              <w:adjustRightInd w:val="0"/>
              <w:snapToGrid w:val="0"/>
              <w:ind w:firstLine="480"/>
              <w:rPr>
                <w:rFonts w:hint="eastAsia"/>
                <w:color w:val="auto"/>
              </w:rPr>
            </w:pPr>
            <w:r>
              <w:rPr>
                <w:rFonts w:hint="eastAsia"/>
                <w:color w:val="auto"/>
                <w:lang w:val="en-US" w:eastAsia="zh-CN"/>
              </w:rPr>
              <w:t>水质影响：</w:t>
            </w:r>
            <w:r>
              <w:rPr>
                <w:rFonts w:hint="eastAsia"/>
                <w:color w:val="auto"/>
              </w:rPr>
              <w:t>经预测本项目运行后不会对</w:t>
            </w:r>
            <w:r>
              <w:rPr>
                <w:color w:val="auto"/>
              </w:rPr>
              <w:t>流里河水库</w:t>
            </w:r>
            <w:r>
              <w:rPr>
                <w:rFonts w:hint="eastAsia"/>
                <w:color w:val="auto"/>
              </w:rPr>
              <w:t>、</w:t>
            </w:r>
            <w:r>
              <w:rPr>
                <w:color w:val="auto"/>
              </w:rPr>
              <w:t>王家河水库</w:t>
            </w:r>
            <w:r>
              <w:rPr>
                <w:rFonts w:hint="eastAsia"/>
                <w:color w:val="auto"/>
              </w:rPr>
              <w:t>、</w:t>
            </w:r>
            <w:r>
              <w:rPr>
                <w:color w:val="auto"/>
              </w:rPr>
              <w:t>澌溪沟水库</w:t>
            </w:r>
            <w:r>
              <w:rPr>
                <w:rFonts w:hint="eastAsia"/>
                <w:color w:val="auto"/>
              </w:rPr>
              <w:t>水质造成影响，仍能维持</w:t>
            </w:r>
            <w:r>
              <w:rPr>
                <w:color w:val="auto"/>
                <w:szCs w:val="21"/>
              </w:rPr>
              <w:t>Ⅱ</w:t>
            </w:r>
            <w:r>
              <w:rPr>
                <w:color w:val="auto"/>
              </w:rPr>
              <w:t>类水质标准</w:t>
            </w:r>
            <w:r>
              <w:rPr>
                <w:rFonts w:hint="eastAsia"/>
                <w:color w:val="auto"/>
              </w:rPr>
              <w:t>；</w:t>
            </w:r>
            <w:r>
              <w:rPr>
                <w:color w:val="auto"/>
              </w:rPr>
              <w:t>各水源水库</w:t>
            </w:r>
            <w:r>
              <w:rPr>
                <w:rFonts w:hint="eastAsia"/>
                <w:color w:val="auto"/>
              </w:rPr>
              <w:t>下游及通江受水区水质</w:t>
            </w:r>
            <w:r>
              <w:rPr>
                <w:color w:val="auto"/>
              </w:rPr>
              <w:t>较好，不同水平年COD、NH</w:t>
            </w:r>
            <w:r>
              <w:rPr>
                <w:color w:val="auto"/>
                <w:vertAlign w:val="subscript"/>
              </w:rPr>
              <w:t>3</w:t>
            </w:r>
            <w:r>
              <w:rPr>
                <w:color w:val="auto"/>
              </w:rPr>
              <w:t>-N、TP和TN沿程均达到</w:t>
            </w:r>
            <w:r>
              <w:rPr>
                <w:color w:val="auto"/>
                <w:szCs w:val="21"/>
              </w:rPr>
              <w:t>Ⅲ</w:t>
            </w:r>
            <w:r>
              <w:rPr>
                <w:color w:val="auto"/>
              </w:rPr>
              <w:t>类水质标准</w:t>
            </w:r>
            <w:r>
              <w:rPr>
                <w:rFonts w:hint="eastAsia"/>
                <w:color w:val="auto"/>
              </w:rPr>
              <w:t>。</w:t>
            </w:r>
          </w:p>
          <w:p w14:paraId="712024BA">
            <w:pPr>
              <w:adjustRightInd w:val="0"/>
              <w:snapToGrid w:val="0"/>
              <w:ind w:firstLine="480"/>
              <w:rPr>
                <w:rFonts w:hint="eastAsia"/>
                <w:color w:val="auto"/>
              </w:rPr>
            </w:pPr>
            <w:r>
              <w:rPr>
                <w:rFonts w:hint="eastAsia"/>
                <w:color w:val="auto"/>
              </w:rPr>
              <w:t>详见水环境影响专题报告。</w:t>
            </w:r>
          </w:p>
          <w:p w14:paraId="11B5E9D4">
            <w:pPr>
              <w:adjustRightInd w:val="0"/>
              <w:snapToGrid w:val="0"/>
              <w:ind w:firstLine="480"/>
              <w:rPr>
                <w:rFonts w:hint="default" w:eastAsia="宋体"/>
                <w:color w:val="auto"/>
                <w:kern w:val="0"/>
                <w:lang w:val="en-US" w:eastAsia="zh-CN"/>
              </w:rPr>
            </w:pPr>
            <w:r>
              <w:rPr>
                <w:rFonts w:hint="eastAsia"/>
                <w:color w:val="auto"/>
                <w:kern w:val="0"/>
                <w:lang w:eastAsia="zh-CN"/>
              </w:rPr>
              <w:t>（</w:t>
            </w:r>
            <w:r>
              <w:rPr>
                <w:rFonts w:hint="eastAsia"/>
                <w:color w:val="auto"/>
                <w:kern w:val="0"/>
                <w:lang w:val="en-US" w:eastAsia="zh-CN"/>
              </w:rPr>
              <w:t>2</w:t>
            </w:r>
            <w:r>
              <w:rPr>
                <w:rFonts w:hint="eastAsia"/>
                <w:color w:val="auto"/>
                <w:kern w:val="0"/>
                <w:lang w:eastAsia="zh-CN"/>
              </w:rPr>
              <w:t>）</w:t>
            </w:r>
            <w:r>
              <w:rPr>
                <w:rFonts w:hint="eastAsia"/>
                <w:color w:val="auto"/>
                <w:kern w:val="0"/>
                <w:lang w:val="en-US" w:eastAsia="zh-CN"/>
              </w:rPr>
              <w:t>声环境影和固废影响</w:t>
            </w:r>
          </w:p>
          <w:p w14:paraId="4A085420">
            <w:pPr>
              <w:adjustRightInd w:val="0"/>
              <w:snapToGrid w:val="0"/>
              <w:ind w:firstLine="480"/>
              <w:rPr>
                <w:rFonts w:hint="eastAsia"/>
                <w:color w:val="auto"/>
              </w:rPr>
            </w:pPr>
            <w:r>
              <w:rPr>
                <w:color w:val="auto"/>
                <w:kern w:val="0"/>
              </w:rPr>
              <w:t>项目建成后，</w:t>
            </w:r>
            <w:r>
              <w:rPr>
                <w:rFonts w:hint="eastAsia"/>
                <w:color w:val="auto"/>
                <w:kern w:val="0"/>
              </w:rPr>
              <w:t>泵站运行噪声产生，经现场调查，泵站周围50m范围内无噪声环境影响敏感点，在采取室内布置、围墙隔声后能实现达标排放。</w:t>
            </w:r>
            <w:r>
              <w:rPr>
                <w:rFonts w:hint="eastAsia"/>
                <w:color w:val="auto"/>
              </w:rPr>
              <w:t>王家河二级加压泵站清水池采用二氧化氯消毒，运营期定期清淤，污泥采用人工清淤后用吸污车抽运至污水处理厂处置。</w:t>
            </w:r>
          </w:p>
          <w:p w14:paraId="5BD7CD90">
            <w:pPr>
              <w:adjustRightInd w:val="0"/>
              <w:snapToGrid w:val="0"/>
              <w:ind w:firstLine="480"/>
              <w:rPr>
                <w:rFonts w:hint="default"/>
                <w:color w:val="auto"/>
                <w:lang w:val="en-US" w:eastAsia="zh-CN"/>
              </w:rPr>
            </w:pPr>
            <w:r>
              <w:rPr>
                <w:rFonts w:hint="eastAsia"/>
                <w:color w:val="auto"/>
                <w:lang w:val="en-US" w:eastAsia="zh-CN"/>
              </w:rPr>
              <w:t>（3）生态环境</w:t>
            </w:r>
          </w:p>
          <w:p w14:paraId="5249F4F7">
            <w:pPr>
              <w:adjustRightInd w:val="0"/>
              <w:snapToGrid w:val="0"/>
              <w:ind w:firstLine="480"/>
              <w:rPr>
                <w:color w:val="auto"/>
                <w:szCs w:val="21"/>
              </w:rPr>
            </w:pPr>
            <w:r>
              <w:rPr>
                <w:rFonts w:hint="eastAsia"/>
                <w:color w:val="auto"/>
                <w:lang w:val="en-US" w:eastAsia="zh-CN"/>
              </w:rPr>
              <w:t>运营期，项目基本对陆生生态无影响；对水生生态而言，由于取水量增加，总体来讲库区水库水位变幅加剧，但由于库区仍维持低流速、高水位状态，水位变幅对鱼类资源、索饵场、越冬场基本无影响。</w:t>
            </w:r>
          </w:p>
        </w:tc>
      </w:tr>
      <w:tr w14:paraId="3669BE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879" w:type="dxa"/>
            <w:vAlign w:val="center"/>
          </w:tcPr>
          <w:p w14:paraId="2598A053">
            <w:pPr>
              <w:adjustRightInd w:val="0"/>
              <w:snapToGrid w:val="0"/>
              <w:ind w:firstLine="0" w:firstLineChars="0"/>
              <w:rPr>
                <w:color w:val="auto"/>
                <w:kern w:val="0"/>
              </w:rPr>
            </w:pPr>
            <w:r>
              <w:rPr>
                <w:color w:val="auto"/>
                <w:kern w:val="0"/>
              </w:rPr>
              <w:t>选址选线环境合理性分析</w:t>
            </w:r>
          </w:p>
        </w:tc>
        <w:tc>
          <w:tcPr>
            <w:tcW w:w="8363" w:type="dxa"/>
          </w:tcPr>
          <w:p w14:paraId="6B4B4B91">
            <w:pPr>
              <w:adjustRightInd w:val="0"/>
              <w:snapToGrid w:val="0"/>
              <w:ind w:firstLine="480"/>
              <w:rPr>
                <w:color w:val="auto"/>
                <w:kern w:val="0"/>
              </w:rPr>
            </w:pPr>
            <w:r>
              <w:rPr>
                <w:color w:val="auto"/>
                <w:kern w:val="0"/>
              </w:rPr>
              <w:t>1、项目选址合理性分析</w:t>
            </w:r>
          </w:p>
          <w:p w14:paraId="62C78B3C">
            <w:pPr>
              <w:adjustRightInd w:val="0"/>
              <w:snapToGrid w:val="0"/>
              <w:ind w:firstLine="480"/>
              <w:rPr>
                <w:color w:val="auto"/>
                <w:kern w:val="0"/>
              </w:rPr>
            </w:pPr>
            <w:r>
              <w:rPr>
                <w:rFonts w:hint="eastAsia"/>
                <w:color w:val="auto"/>
                <w:kern w:val="0"/>
              </w:rPr>
              <w:t>（1）</w:t>
            </w:r>
            <w:r>
              <w:rPr>
                <w:color w:val="auto"/>
                <w:kern w:val="0"/>
              </w:rPr>
              <w:t>项目临时施工场地</w:t>
            </w:r>
          </w:p>
          <w:p w14:paraId="1C357941">
            <w:pPr>
              <w:adjustRightInd w:val="0"/>
              <w:snapToGrid w:val="0"/>
              <w:ind w:firstLine="480"/>
              <w:rPr>
                <w:color w:val="auto"/>
                <w:kern w:val="0"/>
              </w:rPr>
            </w:pPr>
            <w:r>
              <w:rPr>
                <w:color w:val="auto"/>
                <w:kern w:val="0"/>
              </w:rPr>
              <w:t>本项目需要的施工材料混凝土、钢筋、模板等原材料均在当地购买，可用汽车运到施工场地。由于项目施工范围较广，考虑到工程布置及施工管理的要求，根据项目实际情况，设置</w:t>
            </w:r>
            <w:r>
              <w:rPr>
                <w:rFonts w:hint="eastAsia"/>
                <w:color w:val="auto"/>
                <w:kern w:val="0"/>
              </w:rPr>
              <w:t>3</w:t>
            </w:r>
            <w:r>
              <w:rPr>
                <w:color w:val="auto"/>
                <w:kern w:val="0"/>
              </w:rPr>
              <w:t>个施工工区</w:t>
            </w:r>
            <w:r>
              <w:rPr>
                <w:rFonts w:hint="eastAsia"/>
                <w:color w:val="auto"/>
                <w:kern w:val="0"/>
              </w:rPr>
              <w:t>是比</w:t>
            </w:r>
            <w:r>
              <w:rPr>
                <w:color w:val="auto"/>
                <w:kern w:val="0"/>
              </w:rPr>
              <w:t>较合适的，场地属于已硬化空置场地，施工期结束后进行工棚等清除，恢复原状。施工场地布置综合施工仓库、辅助用房等。</w:t>
            </w:r>
          </w:p>
          <w:p w14:paraId="4A798123">
            <w:pPr>
              <w:adjustRightInd w:val="0"/>
              <w:snapToGrid w:val="0"/>
              <w:ind w:firstLine="480"/>
              <w:rPr>
                <w:color w:val="auto"/>
                <w:kern w:val="0"/>
              </w:rPr>
            </w:pPr>
            <w:r>
              <w:rPr>
                <w:rFonts w:hint="eastAsia"/>
                <w:color w:val="auto"/>
                <w:kern w:val="0"/>
              </w:rPr>
              <w:t>（2）</w:t>
            </w:r>
            <w:r>
              <w:rPr>
                <w:color w:val="auto"/>
                <w:kern w:val="0"/>
              </w:rPr>
              <w:t>施工工区选址合理性分析</w:t>
            </w:r>
            <w:r>
              <w:rPr>
                <w:rFonts w:hint="eastAsia"/>
                <w:color w:val="auto"/>
                <w:kern w:val="0"/>
              </w:rPr>
              <w:t>：</w:t>
            </w:r>
          </w:p>
          <w:p w14:paraId="325C0358">
            <w:pPr>
              <w:adjustRightInd w:val="0"/>
              <w:snapToGrid w:val="0"/>
              <w:ind w:firstLine="480"/>
              <w:rPr>
                <w:color w:val="auto"/>
                <w:kern w:val="0"/>
              </w:rPr>
            </w:pPr>
            <w:r>
              <w:rPr>
                <w:color w:val="auto"/>
                <w:kern w:val="0"/>
              </w:rPr>
              <w:t>根据现场勘查可知，项目</w:t>
            </w:r>
            <w:r>
              <w:rPr>
                <w:rFonts w:hint="eastAsia"/>
                <w:color w:val="auto"/>
              </w:rPr>
              <w:t>生产生活区</w:t>
            </w:r>
            <w:r>
              <w:rPr>
                <w:color w:val="auto"/>
                <w:kern w:val="0"/>
              </w:rPr>
              <w:t>选址四周50m范围无居民居住，距离项目临时施工场地</w:t>
            </w:r>
            <w:r>
              <w:rPr>
                <w:rFonts w:hint="eastAsia"/>
                <w:color w:val="auto"/>
                <w:kern w:val="0"/>
              </w:rPr>
              <w:t>最近</w:t>
            </w:r>
            <w:r>
              <w:rPr>
                <w:color w:val="auto"/>
                <w:kern w:val="0"/>
              </w:rPr>
              <w:t>距离为100m</w:t>
            </w:r>
            <w:r>
              <w:rPr>
                <w:rFonts w:hint="eastAsia"/>
                <w:color w:val="auto"/>
                <w:kern w:val="0"/>
              </w:rPr>
              <w:t>；</w:t>
            </w:r>
            <w:r>
              <w:rPr>
                <w:color w:val="auto"/>
                <w:kern w:val="0"/>
              </w:rPr>
              <w:t>通过加强施工管理等措施后，对农户影响较小，且施工期影响短暂，随着施工期的结束而结束。</w:t>
            </w:r>
          </w:p>
          <w:p w14:paraId="0EF90277">
            <w:pPr>
              <w:adjustRightInd w:val="0"/>
              <w:snapToGrid w:val="0"/>
              <w:ind w:firstLine="480"/>
              <w:rPr>
                <w:color w:val="auto"/>
                <w:kern w:val="0"/>
              </w:rPr>
            </w:pPr>
            <w:r>
              <w:rPr>
                <w:color w:val="auto"/>
                <w:kern w:val="0"/>
              </w:rPr>
              <w:t>施工期间挖掘机、推土机、自卸汽车等机械车辆产生的扬尘、噪声影响时段较短，通过</w:t>
            </w:r>
            <w:r>
              <w:rPr>
                <w:rFonts w:hint="eastAsia"/>
                <w:color w:val="auto"/>
                <w:kern w:val="0"/>
              </w:rPr>
              <w:t>洒水</w:t>
            </w:r>
            <w:r>
              <w:rPr>
                <w:color w:val="auto"/>
                <w:kern w:val="0"/>
              </w:rPr>
              <w:t>降尘、合理安排施工时间，禁止夜间施工等措施降低施工机械进出施工区对周边居民、大气环境及周边声环境的影响，施工人员产生的生活污水通过租住民房现有生活污水处理设施处理后用作农田施肥，不外排</w:t>
            </w:r>
            <w:r>
              <w:rPr>
                <w:rFonts w:hint="eastAsia"/>
                <w:color w:val="auto"/>
                <w:kern w:val="0"/>
              </w:rPr>
              <w:t>；</w:t>
            </w:r>
            <w:r>
              <w:rPr>
                <w:color w:val="auto"/>
                <w:kern w:val="0"/>
              </w:rPr>
              <w:t>施工区产生的生活垃圾交由环卫部门定期清运处置。施工扬尘通过施工场地四周设置</w:t>
            </w:r>
            <w:r>
              <w:rPr>
                <w:rFonts w:hint="eastAsia"/>
                <w:color w:val="auto"/>
                <w:kern w:val="0"/>
              </w:rPr>
              <w:t>围档</w:t>
            </w:r>
            <w:r>
              <w:rPr>
                <w:color w:val="auto"/>
                <w:kern w:val="0"/>
              </w:rPr>
              <w:t>，并设置喷雾除尘系统</w:t>
            </w:r>
            <w:r>
              <w:rPr>
                <w:rFonts w:hint="eastAsia"/>
                <w:color w:val="auto"/>
                <w:kern w:val="0"/>
              </w:rPr>
              <w:t>；</w:t>
            </w:r>
            <w:r>
              <w:rPr>
                <w:color w:val="auto"/>
                <w:kern w:val="0"/>
              </w:rPr>
              <w:t>设置洗车平台对进出车辆轮胎进行冲洗，减少扬尘</w:t>
            </w:r>
            <w:r>
              <w:rPr>
                <w:rFonts w:hint="eastAsia"/>
                <w:color w:val="auto"/>
                <w:kern w:val="0"/>
              </w:rPr>
              <w:t>；</w:t>
            </w:r>
            <w:r>
              <w:rPr>
                <w:color w:val="auto"/>
                <w:kern w:val="0"/>
              </w:rPr>
              <w:t>施工原辅料根据生产要求进行外购，避免大量储存等措施，并加强施工场地扬尘管理后，项目施工粉尘对周围大气环境影响较小。</w:t>
            </w:r>
          </w:p>
          <w:p w14:paraId="14B39CB0">
            <w:pPr>
              <w:adjustRightInd w:val="0"/>
              <w:snapToGrid w:val="0"/>
              <w:ind w:firstLine="480"/>
              <w:rPr>
                <w:color w:val="auto"/>
                <w:kern w:val="0"/>
              </w:rPr>
            </w:pPr>
            <w:r>
              <w:rPr>
                <w:color w:val="auto"/>
                <w:kern w:val="0"/>
              </w:rPr>
              <w:t>综上，在采取</w:t>
            </w:r>
            <w:r>
              <w:rPr>
                <w:rFonts w:hint="eastAsia"/>
                <w:color w:val="auto"/>
                <w:kern w:val="0"/>
              </w:rPr>
              <w:t>相应</w:t>
            </w:r>
            <w:r>
              <w:rPr>
                <w:color w:val="auto"/>
                <w:kern w:val="0"/>
              </w:rPr>
              <w:t>环保措施后</w:t>
            </w:r>
            <w:r>
              <w:rPr>
                <w:rFonts w:hint="eastAsia"/>
                <w:color w:val="auto"/>
                <w:kern w:val="0"/>
              </w:rPr>
              <w:t>施工</w:t>
            </w:r>
            <w:r>
              <w:rPr>
                <w:color w:val="auto"/>
                <w:kern w:val="0"/>
              </w:rPr>
              <w:t>对周围居民</w:t>
            </w:r>
            <w:r>
              <w:rPr>
                <w:rFonts w:hint="eastAsia"/>
                <w:color w:val="auto"/>
                <w:kern w:val="0"/>
              </w:rPr>
              <w:t>、水环境</w:t>
            </w:r>
            <w:r>
              <w:rPr>
                <w:color w:val="auto"/>
                <w:kern w:val="0"/>
              </w:rPr>
              <w:t>影响小。</w:t>
            </w:r>
          </w:p>
          <w:p w14:paraId="498EB586">
            <w:pPr>
              <w:adjustRightInd w:val="0"/>
              <w:snapToGrid w:val="0"/>
              <w:ind w:firstLine="480"/>
              <w:rPr>
                <w:color w:val="auto"/>
                <w:kern w:val="0"/>
              </w:rPr>
            </w:pPr>
            <w:r>
              <w:rPr>
                <w:rFonts w:hint="eastAsia"/>
                <w:color w:val="auto"/>
                <w:kern w:val="0"/>
              </w:rPr>
              <w:t>（3）</w:t>
            </w:r>
            <w:r>
              <w:rPr>
                <w:color w:val="auto"/>
                <w:kern w:val="0"/>
              </w:rPr>
              <w:t>临时施工便道</w:t>
            </w:r>
          </w:p>
          <w:p w14:paraId="02D6BF42">
            <w:pPr>
              <w:adjustRightInd w:val="0"/>
              <w:snapToGrid w:val="0"/>
              <w:ind w:firstLine="480"/>
              <w:rPr>
                <w:color w:val="auto"/>
                <w:kern w:val="0"/>
              </w:rPr>
            </w:pPr>
            <w:r>
              <w:rPr>
                <w:color w:val="auto"/>
                <w:kern w:val="0"/>
              </w:rPr>
              <w:t>本项目工程主要位于</w:t>
            </w:r>
            <w:r>
              <w:rPr>
                <w:rFonts w:hint="eastAsia"/>
                <w:color w:val="auto"/>
                <w:kern w:val="0"/>
              </w:rPr>
              <w:t>乡村</w:t>
            </w:r>
            <w:r>
              <w:rPr>
                <w:color w:val="auto"/>
                <w:kern w:val="0"/>
              </w:rPr>
              <w:t>道路两侧，</w:t>
            </w:r>
            <w:r>
              <w:rPr>
                <w:rFonts w:hint="eastAsia"/>
                <w:color w:val="auto"/>
                <w:kern w:val="0"/>
              </w:rPr>
              <w:t>充分利用既有道路做为施工</w:t>
            </w:r>
            <w:r>
              <w:rPr>
                <w:color w:val="auto"/>
                <w:kern w:val="0"/>
              </w:rPr>
              <w:t>便道。</w:t>
            </w:r>
          </w:p>
          <w:p w14:paraId="0373F7D5">
            <w:pPr>
              <w:adjustRightInd w:val="0"/>
              <w:snapToGrid w:val="0"/>
              <w:ind w:firstLine="480"/>
              <w:rPr>
                <w:color w:val="auto"/>
                <w:kern w:val="0"/>
              </w:rPr>
            </w:pPr>
            <w:r>
              <w:rPr>
                <w:rFonts w:hint="eastAsia"/>
                <w:color w:val="auto"/>
                <w:kern w:val="0"/>
              </w:rPr>
              <w:t>（4）</w:t>
            </w:r>
            <w:r>
              <w:rPr>
                <w:color w:val="auto"/>
                <w:kern w:val="0"/>
              </w:rPr>
              <w:t>施工营地</w:t>
            </w:r>
          </w:p>
          <w:p w14:paraId="12F76A58">
            <w:pPr>
              <w:adjustRightInd w:val="0"/>
              <w:snapToGrid w:val="0"/>
              <w:ind w:firstLine="480"/>
              <w:rPr>
                <w:color w:val="auto"/>
                <w:kern w:val="0"/>
              </w:rPr>
            </w:pPr>
            <w:r>
              <w:rPr>
                <w:color w:val="auto"/>
                <w:kern w:val="0"/>
              </w:rPr>
              <w:t>项目故施工现场不设置施工营地</w:t>
            </w:r>
            <w:r>
              <w:rPr>
                <w:rFonts w:hint="eastAsia"/>
                <w:color w:val="auto"/>
                <w:kern w:val="0"/>
              </w:rPr>
              <w:t>，租用民房做为施工营地，不新建营地</w:t>
            </w:r>
            <w:r>
              <w:rPr>
                <w:color w:val="auto"/>
                <w:kern w:val="0"/>
              </w:rPr>
              <w:t>。</w:t>
            </w:r>
          </w:p>
          <w:p w14:paraId="38B772C6">
            <w:pPr>
              <w:adjustRightInd w:val="0"/>
              <w:snapToGrid w:val="0"/>
              <w:ind w:firstLine="480"/>
              <w:rPr>
                <w:color w:val="auto"/>
                <w:kern w:val="0"/>
              </w:rPr>
            </w:pPr>
            <w:r>
              <w:rPr>
                <w:rFonts w:hint="eastAsia"/>
                <w:color w:val="auto"/>
                <w:kern w:val="0"/>
              </w:rPr>
              <w:t>（5）</w:t>
            </w:r>
            <w:r>
              <w:rPr>
                <w:color w:val="auto"/>
                <w:kern w:val="0"/>
              </w:rPr>
              <w:t>土石方堆场</w:t>
            </w:r>
          </w:p>
          <w:p w14:paraId="70BAE517">
            <w:pPr>
              <w:adjustRightInd w:val="0"/>
              <w:snapToGrid w:val="0"/>
              <w:ind w:firstLine="480"/>
              <w:rPr>
                <w:color w:val="auto"/>
                <w:kern w:val="0"/>
              </w:rPr>
            </w:pPr>
            <w:r>
              <w:rPr>
                <w:color w:val="auto"/>
                <w:kern w:val="0"/>
              </w:rPr>
              <w:t>本工程土方工程主要是</w:t>
            </w:r>
            <w:r>
              <w:rPr>
                <w:rFonts w:hint="eastAsia"/>
                <w:color w:val="auto"/>
                <w:kern w:val="0"/>
              </w:rPr>
              <w:t>管道</w:t>
            </w:r>
            <w:r>
              <w:rPr>
                <w:color w:val="auto"/>
                <w:kern w:val="0"/>
              </w:rPr>
              <w:t>、蓄水池等开挖</w:t>
            </w:r>
            <w:r>
              <w:rPr>
                <w:rFonts w:hint="eastAsia"/>
                <w:color w:val="auto"/>
                <w:kern w:val="0"/>
              </w:rPr>
              <w:t>，</w:t>
            </w:r>
            <w:r>
              <w:rPr>
                <w:color w:val="auto"/>
                <w:kern w:val="0"/>
              </w:rPr>
              <w:t>施工时可采用机械开挖和人工辅助相结合的方式进行。施工内容为土方开挖，土方填筑等。</w:t>
            </w:r>
            <w:r>
              <w:rPr>
                <w:color w:val="auto"/>
              </w:rPr>
              <w:t>本</w:t>
            </w:r>
            <w:r>
              <w:rPr>
                <w:rFonts w:hint="eastAsia"/>
                <w:color w:val="auto"/>
              </w:rPr>
              <w:t>工程土石方开挖总量8.89万m</w:t>
            </w:r>
            <w:r>
              <w:rPr>
                <w:color w:val="auto"/>
              </w:rPr>
              <w:t>³</w:t>
            </w:r>
            <w:r>
              <w:rPr>
                <w:rFonts w:hint="eastAsia"/>
                <w:color w:val="auto"/>
              </w:rPr>
              <w:t>（自然方，下同，其中表土剥离0.81万m</w:t>
            </w:r>
            <w:r>
              <w:rPr>
                <w:color w:val="auto"/>
              </w:rPr>
              <w:t>³</w:t>
            </w:r>
            <w:r>
              <w:rPr>
                <w:rFonts w:hint="eastAsia"/>
                <w:color w:val="auto"/>
              </w:rPr>
              <w:t>），填方总量8.89万m</w:t>
            </w:r>
            <w:r>
              <w:rPr>
                <w:color w:val="auto"/>
              </w:rPr>
              <w:t>³</w:t>
            </w:r>
            <w:r>
              <w:rPr>
                <w:rFonts w:hint="eastAsia"/>
                <w:color w:val="auto"/>
              </w:rPr>
              <w:t>（其中表土回覆0.81万m</w:t>
            </w:r>
            <w:r>
              <w:rPr>
                <w:color w:val="auto"/>
              </w:rPr>
              <w:t>³</w:t>
            </w:r>
            <w:r>
              <w:rPr>
                <w:rFonts w:hint="eastAsia"/>
                <w:color w:val="auto"/>
              </w:rPr>
              <w:t>），无借方，无弃方。</w:t>
            </w:r>
            <w:r>
              <w:rPr>
                <w:color w:val="auto"/>
                <w:kern w:val="0"/>
              </w:rPr>
              <w:t>故不设置专用堆场。</w:t>
            </w:r>
          </w:p>
          <w:p w14:paraId="34CC9C52">
            <w:pPr>
              <w:adjustRightInd w:val="0"/>
              <w:snapToGrid w:val="0"/>
              <w:ind w:firstLine="480"/>
              <w:rPr>
                <w:color w:val="auto"/>
                <w:kern w:val="0"/>
              </w:rPr>
            </w:pPr>
            <w:r>
              <w:rPr>
                <w:rFonts w:hint="eastAsia"/>
                <w:color w:val="auto"/>
                <w:kern w:val="0"/>
              </w:rPr>
              <w:t>（6）</w:t>
            </w:r>
            <w:r>
              <w:rPr>
                <w:color w:val="auto"/>
                <w:kern w:val="0"/>
              </w:rPr>
              <w:t>选线合理性分析</w:t>
            </w:r>
          </w:p>
          <w:p w14:paraId="4CF38CB4">
            <w:pPr>
              <w:adjustRightInd w:val="0"/>
              <w:snapToGrid w:val="0"/>
              <w:ind w:firstLine="480"/>
              <w:rPr>
                <w:color w:val="auto"/>
              </w:rPr>
            </w:pPr>
            <w:r>
              <w:rPr>
                <w:color w:val="auto"/>
                <w:kern w:val="0"/>
              </w:rPr>
              <w:t>本项目不涉及</w:t>
            </w:r>
            <w:r>
              <w:rPr>
                <w:rFonts w:hint="eastAsia"/>
                <w:color w:val="auto"/>
                <w:kern w:val="0"/>
              </w:rPr>
              <w:t>生态保护红线、</w:t>
            </w:r>
            <w:r>
              <w:rPr>
                <w:color w:val="auto"/>
                <w:kern w:val="0"/>
              </w:rPr>
              <w:t>自然保护区、国家森林公园等重要生态敏感区</w:t>
            </w:r>
            <w:r>
              <w:rPr>
                <w:rFonts w:hint="eastAsia"/>
                <w:color w:val="auto"/>
                <w:kern w:val="0"/>
              </w:rPr>
              <w:t>，不涉及饮用水水源保护地</w:t>
            </w:r>
            <w:r>
              <w:rPr>
                <w:color w:val="auto"/>
                <w:kern w:val="0"/>
              </w:rPr>
              <w:t>。</w:t>
            </w:r>
            <w:r>
              <w:rPr>
                <w:rFonts w:hint="eastAsia"/>
                <w:color w:val="auto"/>
                <w:kern w:val="0"/>
              </w:rPr>
              <w:t>本项目施工期短、施工污染影响小时尽量利用既有道路，减少新增占地对生态环境的影响，同时采取水土保持、植被恢复和补偿措施后，施工生态影响可进一步降低。运行期无污染物排放</w:t>
            </w:r>
            <w:r>
              <w:rPr>
                <w:color w:val="auto"/>
                <w:kern w:val="0"/>
              </w:rPr>
              <w:t>。</w:t>
            </w:r>
            <w:r>
              <w:rPr>
                <w:rFonts w:hint="eastAsia"/>
                <w:color w:val="auto"/>
                <w:kern w:val="0"/>
              </w:rPr>
              <w:t>项目选址符合</w:t>
            </w:r>
            <w:r>
              <w:rPr>
                <w:color w:val="auto"/>
              </w:rPr>
              <w:t>《四川省生态环境厅分区管控动态更新成果</w:t>
            </w:r>
            <w:r>
              <w:rPr>
                <w:rFonts w:hint="eastAsia"/>
                <w:color w:val="auto"/>
              </w:rPr>
              <w:t>（</w:t>
            </w:r>
            <w:r>
              <w:rPr>
                <w:color w:val="auto"/>
              </w:rPr>
              <w:t>2023年</w:t>
            </w:r>
            <w:r>
              <w:rPr>
                <w:rFonts w:hint="eastAsia"/>
                <w:color w:val="auto"/>
              </w:rPr>
              <w:t>）</w:t>
            </w:r>
            <w:r>
              <w:rPr>
                <w:color w:val="auto"/>
              </w:rPr>
              <w:t>的通知》</w:t>
            </w:r>
            <w:r>
              <w:rPr>
                <w:rFonts w:hint="eastAsia"/>
                <w:color w:val="auto"/>
              </w:rPr>
              <w:t>（</w:t>
            </w:r>
            <w:r>
              <w:rPr>
                <w:color w:val="auto"/>
              </w:rPr>
              <w:t>川环函〔2024〕409号</w:t>
            </w:r>
            <w:r>
              <w:rPr>
                <w:rFonts w:hint="eastAsia"/>
                <w:color w:val="auto"/>
              </w:rPr>
              <w:t>）和</w:t>
            </w:r>
            <w:r>
              <w:rPr>
                <w:color w:val="auto"/>
              </w:rPr>
              <w:t>《通江县国土空间规划（2021—2035年）》</w:t>
            </w:r>
            <w:r>
              <w:rPr>
                <w:rFonts w:hint="eastAsia"/>
                <w:color w:val="auto"/>
              </w:rPr>
              <w:t>等相关规划。总体而言，本项目选址选线具有环境合理性。</w:t>
            </w:r>
          </w:p>
        </w:tc>
      </w:tr>
    </w:tbl>
    <w:p w14:paraId="11B3223E">
      <w:pPr>
        <w:jc w:val="center"/>
        <w:rPr>
          <w:rFonts w:eastAsia="黑体"/>
          <w:snapToGrid w:val="0"/>
          <w:color w:val="auto"/>
          <w:sz w:val="36"/>
          <w:szCs w:val="36"/>
        </w:rPr>
        <w:sectPr>
          <w:pgSz w:w="11906" w:h="16838"/>
          <w:pgMar w:top="1440" w:right="1800" w:bottom="1440" w:left="1800" w:header="851" w:footer="1077" w:gutter="0"/>
          <w:cols w:space="720" w:num="1"/>
          <w:docGrid w:linePitch="312" w:charSpace="0"/>
        </w:sectPr>
      </w:pPr>
    </w:p>
    <w:p w14:paraId="20356B55">
      <w:pPr>
        <w:widowControl/>
        <w:autoSpaceDE/>
        <w:autoSpaceDN/>
        <w:adjustRightInd w:val="0"/>
        <w:snapToGrid w:val="0"/>
        <w:spacing w:line="15" w:lineRule="auto"/>
        <w:ind w:firstLine="600"/>
        <w:jc w:val="center"/>
        <w:rPr>
          <w:rFonts w:eastAsia="黑体"/>
          <w:snapToGrid w:val="0"/>
          <w:color w:val="auto"/>
          <w:sz w:val="30"/>
          <w:szCs w:val="30"/>
        </w:rPr>
      </w:pPr>
    </w:p>
    <w:p w14:paraId="3C63684E">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五、主要生态环境保护措施</w:t>
      </w:r>
    </w:p>
    <w:tbl>
      <w:tblPr>
        <w:tblStyle w:val="12"/>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41944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753" w:type="dxa"/>
            <w:tcMar>
              <w:left w:w="28" w:type="dxa"/>
              <w:right w:w="28" w:type="dxa"/>
            </w:tcMar>
            <w:vAlign w:val="center"/>
          </w:tcPr>
          <w:p w14:paraId="4CA55CAA">
            <w:pPr>
              <w:adjustRightInd w:val="0"/>
              <w:snapToGrid w:val="0"/>
              <w:ind w:firstLine="0" w:firstLineChars="0"/>
              <w:rPr>
                <w:color w:val="auto"/>
                <w:kern w:val="0"/>
              </w:rPr>
            </w:pPr>
            <w:r>
              <w:rPr>
                <w:color w:val="auto"/>
                <w:kern w:val="0"/>
              </w:rPr>
              <w:t>施工期生态环境保护措施</w:t>
            </w:r>
          </w:p>
        </w:tc>
        <w:tc>
          <w:tcPr>
            <w:tcW w:w="8457" w:type="dxa"/>
          </w:tcPr>
          <w:p w14:paraId="7EE0C7E9">
            <w:pPr>
              <w:adjustRightInd w:val="0"/>
              <w:snapToGrid w:val="0"/>
              <w:ind w:firstLine="482"/>
              <w:rPr>
                <w:color w:val="auto"/>
                <w:kern w:val="0"/>
              </w:rPr>
            </w:pPr>
            <w:r>
              <w:rPr>
                <w:b/>
                <w:bCs/>
                <w:color w:val="auto"/>
                <w:kern w:val="0"/>
              </w:rPr>
              <w:t>一、生态环境保护措施</w:t>
            </w:r>
          </w:p>
          <w:p w14:paraId="148D9451">
            <w:pPr>
              <w:adjustRightInd w:val="0"/>
              <w:snapToGrid w:val="0"/>
              <w:ind w:firstLine="480"/>
              <w:rPr>
                <w:color w:val="auto"/>
                <w:kern w:val="0"/>
              </w:rPr>
            </w:pPr>
            <w:r>
              <w:rPr>
                <w:rFonts w:hint="eastAsia"/>
                <w:color w:val="auto"/>
                <w:kern w:val="0"/>
              </w:rPr>
              <w:t>①减缓工程占地对植被的影响。在设计和施工中优化施工布置，应尽可能集约布置，充分利用既有道路做为施工便道，租用民房做营地，不新建施工营地，尽可能减少占地；施工过程中严格控制施工扰动范围，使用彩条旗或围档对施工场地进行限界，加强施工场地布置管理，防止超范围施工，禁止破坏施工征地范围以外的植被，严格控制施工占地对植被的影响。</w:t>
            </w:r>
          </w:p>
          <w:p w14:paraId="3CB14A77">
            <w:pPr>
              <w:adjustRightInd w:val="0"/>
              <w:snapToGrid w:val="0"/>
              <w:ind w:firstLine="480"/>
              <w:rPr>
                <w:color w:val="auto"/>
                <w:kern w:val="0"/>
              </w:rPr>
            </w:pPr>
            <w:r>
              <w:rPr>
                <w:color w:val="auto"/>
                <w:kern w:val="0"/>
              </w:rPr>
              <w:fldChar w:fldCharType="begin"/>
            </w:r>
            <w:r>
              <w:rPr>
                <w:color w:val="auto"/>
                <w:kern w:val="0"/>
              </w:rPr>
              <w:instrText xml:space="preserve"> = 2 \* GB3 </w:instrText>
            </w:r>
            <w:r>
              <w:rPr>
                <w:color w:val="auto"/>
                <w:kern w:val="0"/>
              </w:rPr>
              <w:fldChar w:fldCharType="separate"/>
            </w:r>
            <w:r>
              <w:rPr>
                <w:rFonts w:hint="eastAsia"/>
                <w:color w:val="auto"/>
                <w:kern w:val="0"/>
              </w:rPr>
              <w:t>②</w:t>
            </w:r>
            <w:r>
              <w:rPr>
                <w:color w:val="auto"/>
                <w:kern w:val="0"/>
              </w:rPr>
              <w:fldChar w:fldCharType="end"/>
            </w:r>
            <w:r>
              <w:rPr>
                <w:rFonts w:hint="eastAsia"/>
                <w:color w:val="auto"/>
                <w:kern w:val="0"/>
              </w:rPr>
              <w:t>合理开挖，保留表土。在林地、耕地较为集中分布的区段施工时，应将表层土与下层土分开，暂时保存表层土用于回填，以恢复土壤理化性质，利于植被的恢复，临时表土堆场应采取临时防护措施。在以农业植被为主的区域施工时，应注意保留农田的表层土。</w:t>
            </w:r>
          </w:p>
          <w:p w14:paraId="26B08496">
            <w:pPr>
              <w:adjustRightInd w:val="0"/>
              <w:snapToGrid w:val="0"/>
              <w:ind w:firstLine="480"/>
              <w:rPr>
                <w:bCs/>
                <w:color w:val="auto"/>
                <w:szCs w:val="21"/>
              </w:rPr>
            </w:pPr>
            <w:r>
              <w:rPr>
                <w:rFonts w:hint="eastAsia"/>
                <w:color w:val="auto"/>
                <w:kern w:val="0"/>
              </w:rPr>
              <w:t>③</w:t>
            </w:r>
            <w:r>
              <w:rPr>
                <w:rFonts w:hint="eastAsia"/>
                <w:bCs/>
                <w:color w:val="auto"/>
                <w:szCs w:val="21"/>
              </w:rPr>
              <w:t>临时垃圾及时清理。对于临时占地，由于施工人员、施工车辆及施工材料压占临时设施区改变其土壤紧实度，会影响植被的自然生长，同时材料运输过程中部分砂石、水泥洒落，施工迹地有部分工程垃圾，因此在工程完工后应清除各种残留的工程垃圾，对粒径大于</w:t>
            </w:r>
            <w:r>
              <w:rPr>
                <w:bCs/>
                <w:color w:val="auto"/>
                <w:szCs w:val="21"/>
              </w:rPr>
              <w:t>5.0cm</w:t>
            </w:r>
            <w:r>
              <w:rPr>
                <w:rFonts w:hint="eastAsia"/>
                <w:bCs/>
                <w:color w:val="auto"/>
                <w:szCs w:val="21"/>
              </w:rPr>
              <w:t>的碎石块进行拣选去除，可采取人、畜力翻松。</w:t>
            </w:r>
          </w:p>
          <w:p w14:paraId="471078D9">
            <w:pPr>
              <w:adjustRightInd w:val="0"/>
              <w:snapToGrid w:val="0"/>
              <w:ind w:firstLine="480"/>
              <w:rPr>
                <w:bCs/>
                <w:color w:val="auto"/>
                <w:szCs w:val="21"/>
              </w:rPr>
            </w:pPr>
            <w:r>
              <w:rPr>
                <w:rFonts w:hint="eastAsia"/>
                <w:color w:val="auto"/>
                <w:kern w:val="0"/>
              </w:rPr>
              <w:t>④施工结束后</w:t>
            </w:r>
            <w:r>
              <w:rPr>
                <w:color w:val="auto"/>
              </w:rPr>
              <w:t>拆除围挡，对开挖动土区域进行坑凹回填，场地平整改造恢复利用。需要对区域内临时施工用地、临时施工堆场占地区域废弃物进行清除，对场地进行植被恢复、土地复垦作业</w:t>
            </w:r>
            <w:r>
              <w:rPr>
                <w:rFonts w:hint="eastAsia"/>
                <w:color w:val="auto"/>
              </w:rPr>
              <w:t>；</w:t>
            </w:r>
            <w:r>
              <w:rPr>
                <w:color w:val="auto"/>
              </w:rPr>
              <w:t>进行混播植草，选用当地常见物种。</w:t>
            </w:r>
          </w:p>
          <w:p w14:paraId="08B79C1C">
            <w:pPr>
              <w:adjustRightInd w:val="0"/>
              <w:snapToGrid w:val="0"/>
              <w:ind w:firstLine="480"/>
              <w:rPr>
                <w:color w:val="auto"/>
                <w:kern w:val="0"/>
              </w:rPr>
            </w:pPr>
            <w:r>
              <w:rPr>
                <w:rFonts w:hint="eastAsia"/>
                <w:color w:val="auto"/>
                <w:kern w:val="0"/>
              </w:rPr>
              <w:t>⑤</w:t>
            </w:r>
            <w:r>
              <w:rPr>
                <w:color w:val="auto"/>
                <w:kern w:val="0"/>
              </w:rPr>
              <w:t>加强施工期的组织管理，提高工效，缩短工期</w:t>
            </w:r>
            <w:r>
              <w:rPr>
                <w:rFonts w:hint="eastAsia"/>
                <w:color w:val="auto"/>
                <w:kern w:val="0"/>
              </w:rPr>
              <w:t>；</w:t>
            </w:r>
            <w:r>
              <w:rPr>
                <w:color w:val="auto"/>
                <w:kern w:val="0"/>
              </w:rPr>
              <w:t>施工期最好选在旱季，避开暴雨期施工</w:t>
            </w:r>
            <w:r>
              <w:rPr>
                <w:rFonts w:hint="eastAsia"/>
                <w:color w:val="auto"/>
                <w:kern w:val="0"/>
              </w:rPr>
              <w:t>；</w:t>
            </w:r>
            <w:r>
              <w:rPr>
                <w:color w:val="auto"/>
                <w:kern w:val="0"/>
              </w:rPr>
              <w:t>挖、填方施工时，尽量做到先筑挡土墙，随挖、随运、随压，严禁随意开挖取土取石，破坏植被。</w:t>
            </w:r>
          </w:p>
          <w:p w14:paraId="1B153231">
            <w:pPr>
              <w:adjustRightInd w:val="0"/>
              <w:snapToGrid w:val="0"/>
              <w:ind w:firstLine="480"/>
              <w:rPr>
                <w:color w:val="auto"/>
                <w:kern w:val="0"/>
              </w:rPr>
            </w:pPr>
            <w:r>
              <w:rPr>
                <w:color w:val="auto"/>
                <w:kern w:val="0"/>
              </w:rPr>
              <w:fldChar w:fldCharType="begin"/>
            </w:r>
            <w:r>
              <w:rPr>
                <w:color w:val="auto"/>
                <w:kern w:val="0"/>
              </w:rPr>
              <w:instrText xml:space="preserve"> </w:instrText>
            </w:r>
            <w:r>
              <w:rPr>
                <w:rFonts w:hint="eastAsia"/>
                <w:color w:val="auto"/>
                <w:kern w:val="0"/>
              </w:rPr>
              <w:instrText xml:space="preserve">= 6 \* GB3</w:instrText>
            </w:r>
            <w:r>
              <w:rPr>
                <w:color w:val="auto"/>
                <w:kern w:val="0"/>
              </w:rPr>
              <w:instrText xml:space="preserve"> </w:instrText>
            </w:r>
            <w:r>
              <w:rPr>
                <w:color w:val="auto"/>
                <w:kern w:val="0"/>
              </w:rPr>
              <w:fldChar w:fldCharType="separate"/>
            </w:r>
            <w:r>
              <w:rPr>
                <w:rFonts w:hint="eastAsia"/>
                <w:color w:val="auto"/>
                <w:kern w:val="0"/>
              </w:rPr>
              <w:t>⑥</w:t>
            </w:r>
            <w:r>
              <w:rPr>
                <w:color w:val="auto"/>
                <w:kern w:val="0"/>
              </w:rPr>
              <w:fldChar w:fldCharType="end"/>
            </w:r>
            <w:r>
              <w:rPr>
                <w:rFonts w:hint="eastAsia"/>
                <w:color w:val="auto"/>
                <w:kern w:val="0"/>
              </w:rPr>
              <w:t>施工废水经处理后回用，不外排；生活污水依托租用民房已有设施处理后回用，不外排；生活垃圾、建筑垃圾等固体废物分类收集妥善处理，防止生产和生活废污水、固体废物污染环境，尽量降低对野生动物特别是两栖爬行类动物的影响。</w:t>
            </w:r>
          </w:p>
          <w:p w14:paraId="2C0B2052">
            <w:pPr>
              <w:adjustRightInd w:val="0"/>
              <w:snapToGrid w:val="0"/>
              <w:ind w:firstLine="480"/>
              <w:rPr>
                <w:color w:val="auto"/>
                <w:kern w:val="0"/>
              </w:rPr>
            </w:pPr>
            <w:r>
              <w:rPr>
                <w:color w:val="auto"/>
                <w:kern w:val="0"/>
              </w:rPr>
              <w:fldChar w:fldCharType="begin"/>
            </w:r>
            <w:r>
              <w:rPr>
                <w:color w:val="auto"/>
                <w:kern w:val="0"/>
              </w:rPr>
              <w:instrText xml:space="preserve"> </w:instrText>
            </w:r>
            <w:r>
              <w:rPr>
                <w:rFonts w:hint="eastAsia"/>
                <w:color w:val="auto"/>
                <w:kern w:val="0"/>
              </w:rPr>
              <w:instrText xml:space="preserve">= 7 \* GB3</w:instrText>
            </w:r>
            <w:r>
              <w:rPr>
                <w:color w:val="auto"/>
                <w:kern w:val="0"/>
              </w:rPr>
              <w:instrText xml:space="preserve"> </w:instrText>
            </w:r>
            <w:r>
              <w:rPr>
                <w:color w:val="auto"/>
                <w:kern w:val="0"/>
              </w:rPr>
              <w:fldChar w:fldCharType="separate"/>
            </w:r>
            <w:r>
              <w:rPr>
                <w:rFonts w:hint="eastAsia"/>
                <w:color w:val="auto"/>
                <w:kern w:val="0"/>
              </w:rPr>
              <w:t>⑦</w:t>
            </w:r>
            <w:r>
              <w:rPr>
                <w:color w:val="auto"/>
                <w:kern w:val="0"/>
              </w:rPr>
              <w:fldChar w:fldCharType="end"/>
            </w:r>
            <w:r>
              <w:rPr>
                <w:rFonts w:hint="eastAsia"/>
                <w:color w:val="auto"/>
                <w:kern w:val="0"/>
              </w:rPr>
              <w:t>加强施工管理，采用低噪声设备，合理施工布置、设置临时隔声围档等降噪措施，减少施工噪声对动物的扰动。</w:t>
            </w:r>
          </w:p>
          <w:p w14:paraId="65A4A77E">
            <w:pPr>
              <w:adjustRightInd w:val="0"/>
              <w:snapToGrid w:val="0"/>
              <w:ind w:firstLine="480"/>
              <w:rPr>
                <w:color w:val="auto"/>
                <w:kern w:val="0"/>
              </w:rPr>
            </w:pPr>
            <w:r>
              <w:rPr>
                <w:color w:val="auto"/>
                <w:kern w:val="0"/>
              </w:rPr>
              <w:fldChar w:fldCharType="begin"/>
            </w:r>
            <w:r>
              <w:rPr>
                <w:color w:val="auto"/>
                <w:kern w:val="0"/>
              </w:rPr>
              <w:instrText xml:space="preserve"> </w:instrText>
            </w:r>
            <w:r>
              <w:rPr>
                <w:rFonts w:hint="eastAsia"/>
                <w:color w:val="auto"/>
                <w:kern w:val="0"/>
              </w:rPr>
              <w:instrText xml:space="preserve">= 8 \* GB3</w:instrText>
            </w:r>
            <w:r>
              <w:rPr>
                <w:color w:val="auto"/>
                <w:kern w:val="0"/>
              </w:rPr>
              <w:instrText xml:space="preserve"> </w:instrText>
            </w:r>
            <w:r>
              <w:rPr>
                <w:color w:val="auto"/>
                <w:kern w:val="0"/>
              </w:rPr>
              <w:fldChar w:fldCharType="separate"/>
            </w:r>
            <w:r>
              <w:rPr>
                <w:rFonts w:hint="eastAsia"/>
                <w:color w:val="auto"/>
                <w:kern w:val="0"/>
              </w:rPr>
              <w:t>⑧</w:t>
            </w:r>
            <w:r>
              <w:rPr>
                <w:color w:val="auto"/>
                <w:kern w:val="0"/>
              </w:rPr>
              <w:fldChar w:fldCharType="end"/>
            </w:r>
            <w:r>
              <w:rPr>
                <w:rFonts w:hint="eastAsia"/>
                <w:color w:val="auto"/>
                <w:kern w:val="0"/>
              </w:rPr>
              <w:t>施工期由当地林业局、施工方组成野生动植物保护管理队伍，对施工人员和附近居民加强施工区生态保护的宣传教育，坚决禁止和打击猎捕和贸易包括蛙类、蛇类、鸟类、兽类等野生动物，以减轻施工对当地陆生动物的影响，并采取有效措施抑制鼠类的危害。</w:t>
            </w:r>
          </w:p>
          <w:p w14:paraId="6DC8301B">
            <w:pPr>
              <w:adjustRightInd w:val="0"/>
              <w:snapToGrid w:val="0"/>
              <w:ind w:firstLine="480"/>
              <w:rPr>
                <w:color w:val="auto"/>
                <w:kern w:val="0"/>
              </w:rPr>
            </w:pPr>
            <w:r>
              <w:rPr>
                <w:color w:val="auto"/>
                <w:kern w:val="0"/>
              </w:rPr>
              <w:fldChar w:fldCharType="begin"/>
            </w:r>
            <w:r>
              <w:rPr>
                <w:color w:val="auto"/>
                <w:kern w:val="0"/>
              </w:rPr>
              <w:instrText xml:space="preserve"> </w:instrText>
            </w:r>
            <w:r>
              <w:rPr>
                <w:rFonts w:hint="eastAsia"/>
                <w:color w:val="auto"/>
                <w:kern w:val="0"/>
              </w:rPr>
              <w:instrText xml:space="preserve">= 9 \* GB3</w:instrText>
            </w:r>
            <w:r>
              <w:rPr>
                <w:color w:val="auto"/>
                <w:kern w:val="0"/>
              </w:rPr>
              <w:instrText xml:space="preserve"> </w:instrText>
            </w:r>
            <w:r>
              <w:rPr>
                <w:color w:val="auto"/>
                <w:kern w:val="0"/>
              </w:rPr>
              <w:fldChar w:fldCharType="separate"/>
            </w:r>
            <w:r>
              <w:rPr>
                <w:rFonts w:hint="eastAsia"/>
                <w:color w:val="auto"/>
                <w:kern w:val="0"/>
              </w:rPr>
              <w:t>⑨</w:t>
            </w:r>
            <w:r>
              <w:rPr>
                <w:color w:val="auto"/>
                <w:kern w:val="0"/>
              </w:rPr>
              <w:fldChar w:fldCharType="end"/>
            </w:r>
            <w:r>
              <w:rPr>
                <w:rFonts w:hint="eastAsia"/>
                <w:color w:val="auto"/>
                <w:kern w:val="0"/>
              </w:rPr>
              <w:t>水土流失防治措施。</w:t>
            </w:r>
            <w:r>
              <w:rPr>
                <w:rFonts w:hint="eastAsia"/>
                <w:color w:val="auto"/>
              </w:rPr>
              <w:t>施工前，对原占用的耕地及草地区域进行表土剥离，堆放在管道两侧。施工期间，对临时堆土及裸露地表进行临时苫盖，对部分堆土陡坡区域进行临时拦挡；施工后期，施工结束后对管沟施工作业带回覆表土、对耕地区域进行复耕，对草地及其他土地区域进行土地整治，整地完成后撒草绿化。</w:t>
            </w:r>
          </w:p>
          <w:p w14:paraId="7A299B11">
            <w:pPr>
              <w:adjustRightInd w:val="0"/>
              <w:snapToGrid w:val="0"/>
              <w:ind w:firstLine="482"/>
              <w:rPr>
                <w:b/>
                <w:bCs/>
                <w:color w:val="auto"/>
                <w:kern w:val="0"/>
              </w:rPr>
            </w:pPr>
            <w:r>
              <w:rPr>
                <w:b/>
                <w:bCs/>
                <w:color w:val="auto"/>
                <w:kern w:val="0"/>
              </w:rPr>
              <w:t>二、</w:t>
            </w:r>
            <w:r>
              <w:rPr>
                <w:rFonts w:hint="eastAsia"/>
                <w:b/>
                <w:bCs/>
                <w:color w:val="auto"/>
                <w:kern w:val="0"/>
              </w:rPr>
              <w:t>大气</w:t>
            </w:r>
            <w:r>
              <w:rPr>
                <w:b/>
                <w:bCs/>
                <w:color w:val="auto"/>
                <w:kern w:val="0"/>
              </w:rPr>
              <w:t>环境</w:t>
            </w:r>
            <w:r>
              <w:rPr>
                <w:rFonts w:hint="eastAsia"/>
                <w:b/>
                <w:bCs/>
                <w:color w:val="auto"/>
                <w:kern w:val="0"/>
              </w:rPr>
              <w:t>保护措施</w:t>
            </w:r>
          </w:p>
          <w:p w14:paraId="292EE558">
            <w:pPr>
              <w:adjustRightInd w:val="0"/>
              <w:snapToGrid w:val="0"/>
              <w:ind w:firstLine="480"/>
              <w:rPr>
                <w:color w:val="auto"/>
                <w:kern w:val="0"/>
              </w:rPr>
            </w:pPr>
            <w:r>
              <w:rPr>
                <w:rFonts w:hint="eastAsia"/>
                <w:color w:val="auto"/>
                <w:kern w:val="0"/>
              </w:rPr>
              <w:t>（</w:t>
            </w:r>
            <w:r>
              <w:rPr>
                <w:color w:val="auto"/>
                <w:kern w:val="0"/>
              </w:rPr>
              <w:t>1</w:t>
            </w:r>
            <w:r>
              <w:rPr>
                <w:rFonts w:hint="eastAsia"/>
                <w:color w:val="auto"/>
                <w:kern w:val="0"/>
              </w:rPr>
              <w:t>）</w:t>
            </w:r>
            <w:r>
              <w:rPr>
                <w:color w:val="auto"/>
                <w:kern w:val="0"/>
              </w:rPr>
              <w:t>施工扬尘</w:t>
            </w:r>
          </w:p>
          <w:p w14:paraId="5112F050">
            <w:pPr>
              <w:adjustRightInd w:val="0"/>
              <w:snapToGrid w:val="0"/>
              <w:ind w:firstLine="480"/>
              <w:rPr>
                <w:color w:val="auto"/>
                <w:kern w:val="0"/>
              </w:rPr>
            </w:pPr>
            <w:r>
              <w:rPr>
                <w:color w:val="auto"/>
                <w:kern w:val="0"/>
              </w:rPr>
              <w:t>根据《四川省建筑工程扬尘污染防治技术导则（试行）》《四川省建筑施工扬尘防治标准》《四川省打赢蓝天保卫战等九个实施方案》</w:t>
            </w:r>
            <w:r>
              <w:rPr>
                <w:rFonts w:hint="eastAsia"/>
                <w:color w:val="auto"/>
                <w:kern w:val="0"/>
              </w:rPr>
              <w:t>等</w:t>
            </w:r>
            <w:r>
              <w:rPr>
                <w:color w:val="auto"/>
                <w:kern w:val="0"/>
              </w:rPr>
              <w:t>中有关施工工地和道路扬尘污染防治规定要求，积极推行绿色施工，环评要求</w:t>
            </w:r>
            <w:r>
              <w:rPr>
                <w:rFonts w:hint="eastAsia"/>
                <w:color w:val="auto"/>
                <w:kern w:val="0"/>
              </w:rPr>
              <w:t>，本工程</w:t>
            </w:r>
            <w:r>
              <w:rPr>
                <w:color w:val="auto"/>
                <w:kern w:val="0"/>
              </w:rPr>
              <w:t>采取以下措施</w:t>
            </w:r>
            <w:r>
              <w:rPr>
                <w:rFonts w:hint="eastAsia"/>
                <w:color w:val="auto"/>
                <w:kern w:val="0"/>
              </w:rPr>
              <w:t>：</w:t>
            </w:r>
          </w:p>
          <w:p w14:paraId="072138B7">
            <w:pPr>
              <w:adjustRightInd w:val="0"/>
              <w:snapToGrid w:val="0"/>
              <w:ind w:firstLine="480"/>
              <w:rPr>
                <w:color w:val="auto"/>
                <w:kern w:val="0"/>
              </w:rPr>
            </w:pPr>
            <w:r>
              <w:rPr>
                <w:color w:val="auto"/>
                <w:kern w:val="0"/>
              </w:rPr>
              <w:t>1</w:t>
            </w:r>
            <w:r>
              <w:rPr>
                <w:rFonts w:hint="eastAsia"/>
                <w:color w:val="auto"/>
                <w:kern w:val="0"/>
              </w:rPr>
              <w:t>）</w:t>
            </w:r>
            <w:r>
              <w:rPr>
                <w:color w:val="auto"/>
                <w:kern w:val="0"/>
              </w:rPr>
              <w:t>施工方案中应当有明确的扬尘污染防治措施，并严格遵守和实施，建立扬尘控制责任制度，严格落实“六必须、六不准”管控要求</w:t>
            </w:r>
            <w:r>
              <w:rPr>
                <w:rFonts w:hint="eastAsia"/>
                <w:color w:val="auto"/>
                <w:kern w:val="0"/>
              </w:rPr>
              <w:t>：</w:t>
            </w:r>
            <w:r>
              <w:rPr>
                <w:color w:val="auto"/>
                <w:kern w:val="0"/>
              </w:rPr>
              <w:t>必须打围作业、必须硬化道路、必须设置冲洗设施、必须湿法作业、必须配齐保洁人员、必须定时清扫施工现场，不准车辆带泥出门，不准运渣车辆冒顶装载、不准高空抛撒建渣、不准现场搅拌混凝土、不准场地积水、不准现场烧废弃物</w:t>
            </w:r>
            <w:r>
              <w:rPr>
                <w:rFonts w:hint="eastAsia"/>
                <w:color w:val="auto"/>
                <w:kern w:val="0"/>
              </w:rPr>
              <w:t>；</w:t>
            </w:r>
          </w:p>
          <w:p w14:paraId="20896C7F">
            <w:pPr>
              <w:adjustRightInd w:val="0"/>
              <w:snapToGrid w:val="0"/>
              <w:ind w:firstLine="480"/>
              <w:rPr>
                <w:color w:val="auto"/>
                <w:kern w:val="0"/>
              </w:rPr>
            </w:pPr>
            <w:r>
              <w:rPr>
                <w:color w:val="auto"/>
                <w:kern w:val="0"/>
              </w:rPr>
              <w:t>2</w:t>
            </w:r>
            <w:r>
              <w:rPr>
                <w:rFonts w:hint="eastAsia"/>
                <w:color w:val="auto"/>
                <w:kern w:val="0"/>
              </w:rPr>
              <w:t>）</w:t>
            </w:r>
            <w:r>
              <w:rPr>
                <w:color w:val="auto"/>
                <w:kern w:val="0"/>
              </w:rPr>
              <w:t>施工单位应强化</w:t>
            </w:r>
            <w:r>
              <w:rPr>
                <w:rFonts w:hint="eastAsia"/>
                <w:color w:val="auto"/>
                <w:kern w:val="0"/>
              </w:rPr>
              <w:t>管道</w:t>
            </w:r>
            <w:r>
              <w:rPr>
                <w:color w:val="auto"/>
                <w:kern w:val="0"/>
              </w:rPr>
              <w:t>施工管控，应采取逐段施工方式，尽力减少</w:t>
            </w:r>
            <w:r>
              <w:rPr>
                <w:rFonts w:hint="eastAsia"/>
                <w:color w:val="auto"/>
                <w:kern w:val="0"/>
              </w:rPr>
              <w:t>管道</w:t>
            </w:r>
            <w:r>
              <w:rPr>
                <w:color w:val="auto"/>
                <w:kern w:val="0"/>
              </w:rPr>
              <w:t>施工扬尘，细颗粒状散体材料应采取良好的密封状态运输，堆放时应在堆料棚内用帆布或编织布严密封盖，对无包装的堆料应定期洒水，使之保持不易被风吹起的状态。此外还需重点加强水泥、砂石等建筑材料装卸过程的管理</w:t>
            </w:r>
            <w:r>
              <w:rPr>
                <w:rFonts w:hint="eastAsia"/>
                <w:color w:val="auto"/>
                <w:kern w:val="0"/>
              </w:rPr>
              <w:t>；</w:t>
            </w:r>
          </w:p>
          <w:p w14:paraId="5313F776">
            <w:pPr>
              <w:adjustRightInd w:val="0"/>
              <w:snapToGrid w:val="0"/>
              <w:ind w:firstLine="480"/>
              <w:rPr>
                <w:color w:val="auto"/>
                <w:kern w:val="0"/>
              </w:rPr>
            </w:pPr>
            <w:r>
              <w:rPr>
                <w:color w:val="auto"/>
                <w:kern w:val="0"/>
              </w:rPr>
              <w:t>3</w:t>
            </w:r>
            <w:r>
              <w:rPr>
                <w:rFonts w:hint="eastAsia"/>
                <w:color w:val="auto"/>
                <w:kern w:val="0"/>
              </w:rPr>
              <w:t>）</w:t>
            </w:r>
            <w:r>
              <w:rPr>
                <w:color w:val="auto"/>
                <w:kern w:val="0"/>
              </w:rPr>
              <w:t>施工过程中，车辆行驶产生的扬尘占总扬尘的60%以上，尤其是干燥及风速较大时更为明显。减少汽车行驶扬尘最有效的方法是限制车辆行驶速度及保持路面清洁。工程在建设过程中，特别要控制汽车在敏感点区域的行驶速度并对汽车行驶路面勤</w:t>
            </w:r>
            <w:r>
              <w:rPr>
                <w:rFonts w:hint="eastAsia"/>
                <w:color w:val="auto"/>
                <w:kern w:val="0"/>
              </w:rPr>
              <w:t>洒水</w:t>
            </w:r>
            <w:r>
              <w:rPr>
                <w:color w:val="auto"/>
                <w:kern w:val="0"/>
              </w:rPr>
              <w:t>，可使扬尘减少70%左右，当施工场地</w:t>
            </w:r>
            <w:r>
              <w:rPr>
                <w:rFonts w:hint="eastAsia"/>
                <w:color w:val="auto"/>
                <w:kern w:val="0"/>
              </w:rPr>
              <w:t>洒水</w:t>
            </w:r>
            <w:r>
              <w:rPr>
                <w:color w:val="auto"/>
                <w:kern w:val="0"/>
              </w:rPr>
              <w:t>频率为4--5次/天时，扬尘造成的TSP污染距离可缩小到20-50m范围内。同时，尽量采用封闭车辆运行，以消除由于车上</w:t>
            </w:r>
            <w:r>
              <w:rPr>
                <w:rFonts w:hint="eastAsia"/>
                <w:color w:val="auto"/>
                <w:kern w:val="0"/>
              </w:rPr>
              <w:t>洒落</w:t>
            </w:r>
            <w:r>
              <w:rPr>
                <w:color w:val="auto"/>
                <w:kern w:val="0"/>
              </w:rPr>
              <w:t>泥土引起的扬尘</w:t>
            </w:r>
            <w:r>
              <w:rPr>
                <w:rFonts w:hint="eastAsia"/>
                <w:color w:val="auto"/>
                <w:kern w:val="0"/>
              </w:rPr>
              <w:t>；</w:t>
            </w:r>
          </w:p>
          <w:p w14:paraId="400953F7">
            <w:pPr>
              <w:adjustRightInd w:val="0"/>
              <w:snapToGrid w:val="0"/>
              <w:ind w:firstLine="480"/>
              <w:rPr>
                <w:color w:val="auto"/>
                <w:kern w:val="0"/>
              </w:rPr>
            </w:pPr>
            <w:r>
              <w:rPr>
                <w:color w:val="auto"/>
                <w:kern w:val="0"/>
              </w:rPr>
              <w:t>4</w:t>
            </w:r>
            <w:r>
              <w:rPr>
                <w:rFonts w:hint="eastAsia"/>
                <w:color w:val="auto"/>
                <w:kern w:val="0"/>
              </w:rPr>
              <w:t>）</w:t>
            </w:r>
            <w:r>
              <w:rPr>
                <w:color w:val="auto"/>
                <w:kern w:val="0"/>
              </w:rPr>
              <w:t>对于施工阶段扬尘的另一个主要来源露天堆场和裸露场地的风力扬尘</w:t>
            </w:r>
            <w:r>
              <w:rPr>
                <w:rFonts w:hint="eastAsia"/>
                <w:color w:val="auto"/>
                <w:kern w:val="0"/>
              </w:rPr>
              <w:t>，</w:t>
            </w:r>
            <w:r>
              <w:rPr>
                <w:color w:val="auto"/>
                <w:kern w:val="0"/>
              </w:rPr>
              <w:t>施工单位应减少露天堆放，减少裸露地面，保证一定的含水率，并对露天堆放场加强管理，用</w:t>
            </w:r>
            <w:r>
              <w:rPr>
                <w:rFonts w:hint="eastAsia"/>
                <w:color w:val="auto"/>
                <w:kern w:val="0"/>
              </w:rPr>
              <w:t>篷布</w:t>
            </w:r>
            <w:r>
              <w:rPr>
                <w:color w:val="auto"/>
                <w:kern w:val="0"/>
              </w:rPr>
              <w:t>等遮盖，以减少风力起尘。</w:t>
            </w:r>
          </w:p>
          <w:p w14:paraId="40E70C5D">
            <w:pPr>
              <w:adjustRightInd w:val="0"/>
              <w:snapToGrid w:val="0"/>
              <w:ind w:firstLine="480"/>
              <w:rPr>
                <w:color w:val="auto"/>
                <w:kern w:val="0"/>
              </w:rPr>
            </w:pPr>
            <w:r>
              <w:rPr>
                <w:color w:val="auto"/>
                <w:kern w:val="0"/>
              </w:rPr>
              <w:t>5</w:t>
            </w:r>
            <w:r>
              <w:rPr>
                <w:rFonts w:hint="eastAsia"/>
                <w:color w:val="auto"/>
                <w:kern w:val="0"/>
              </w:rPr>
              <w:t>）</w:t>
            </w:r>
            <w:r>
              <w:rPr>
                <w:color w:val="auto"/>
                <w:kern w:val="0"/>
              </w:rPr>
              <w:t>施工现场应合理布置运输车辆行驶路线，配合有关部门搞好施工期间周围道路的交通组织，保证行驶速度，减少总速时间，以减少机动车尾气的排放，同时加强对施工机械，运输车辆的维修保养，禁止施工机械超负荷工作和运输车辆超载，不得使用劣质燃料。</w:t>
            </w:r>
          </w:p>
          <w:p w14:paraId="7AD21942">
            <w:pPr>
              <w:adjustRightInd w:val="0"/>
              <w:snapToGrid w:val="0"/>
              <w:ind w:firstLine="480"/>
              <w:rPr>
                <w:color w:val="auto"/>
                <w:kern w:val="0"/>
              </w:rPr>
            </w:pPr>
            <w:r>
              <w:rPr>
                <w:rFonts w:hint="eastAsia"/>
                <w:color w:val="auto"/>
                <w:kern w:val="0"/>
              </w:rPr>
              <w:t>（</w:t>
            </w:r>
            <w:r>
              <w:rPr>
                <w:color w:val="auto"/>
                <w:kern w:val="0"/>
              </w:rPr>
              <w:t>2</w:t>
            </w:r>
            <w:r>
              <w:rPr>
                <w:rFonts w:hint="eastAsia"/>
                <w:color w:val="auto"/>
                <w:kern w:val="0"/>
              </w:rPr>
              <w:t>）</w:t>
            </w:r>
            <w:r>
              <w:rPr>
                <w:color w:val="auto"/>
                <w:kern w:val="0"/>
              </w:rPr>
              <w:t>施工机械燃油废气施工过程中车辆及施工机械产生的尾气主要含CO、THC、NO</w:t>
            </w:r>
            <w:r>
              <w:rPr>
                <w:color w:val="auto"/>
                <w:kern w:val="0"/>
                <w:vertAlign w:val="subscript"/>
              </w:rPr>
              <w:t>2</w:t>
            </w:r>
            <w:r>
              <w:rPr>
                <w:color w:val="auto"/>
                <w:kern w:val="0"/>
              </w:rPr>
              <w:t>等污染物汽车运输和施工机具尾气主要对作业点周围和运输路线两侧局部范围产生影响。</w:t>
            </w:r>
          </w:p>
          <w:p w14:paraId="691FF222">
            <w:pPr>
              <w:adjustRightInd w:val="0"/>
              <w:snapToGrid w:val="0"/>
              <w:ind w:firstLine="480"/>
              <w:rPr>
                <w:color w:val="auto"/>
                <w:kern w:val="0"/>
              </w:rPr>
            </w:pPr>
            <w:r>
              <w:rPr>
                <w:color w:val="auto"/>
                <w:kern w:val="0"/>
              </w:rPr>
              <w:t>防治措施</w:t>
            </w:r>
            <w:r>
              <w:rPr>
                <w:rFonts w:hint="eastAsia"/>
                <w:color w:val="auto"/>
                <w:kern w:val="0"/>
              </w:rPr>
              <w:t>：</w:t>
            </w:r>
          </w:p>
          <w:p w14:paraId="0998F79E">
            <w:pPr>
              <w:adjustRightInd w:val="0"/>
              <w:snapToGrid w:val="0"/>
              <w:ind w:firstLine="480"/>
              <w:rPr>
                <w:color w:val="auto"/>
                <w:kern w:val="0"/>
              </w:rPr>
            </w:pPr>
            <w:r>
              <w:rPr>
                <w:color w:val="auto"/>
                <w:kern w:val="0"/>
              </w:rPr>
              <w:t>①加强施工机械的保养维护，提高机械的正常使用率</w:t>
            </w:r>
            <w:r>
              <w:rPr>
                <w:rFonts w:hint="eastAsia"/>
                <w:color w:val="auto"/>
                <w:kern w:val="0"/>
              </w:rPr>
              <w:t>；</w:t>
            </w:r>
          </w:p>
          <w:p w14:paraId="4C602624">
            <w:pPr>
              <w:adjustRightInd w:val="0"/>
              <w:snapToGrid w:val="0"/>
              <w:ind w:firstLine="480"/>
              <w:rPr>
                <w:color w:val="auto"/>
                <w:kern w:val="0"/>
              </w:rPr>
            </w:pPr>
            <w:r>
              <w:rPr>
                <w:color w:val="auto"/>
                <w:kern w:val="0"/>
              </w:rPr>
              <w:t>②加强对机械、车辆的维修保养，禁止以柴油为燃料的施工机械超负荷工作，减少烟度和颗粒物排放</w:t>
            </w:r>
            <w:r>
              <w:rPr>
                <w:rFonts w:hint="eastAsia"/>
                <w:color w:val="auto"/>
                <w:kern w:val="0"/>
              </w:rPr>
              <w:t>；</w:t>
            </w:r>
          </w:p>
          <w:p w14:paraId="1FA40055">
            <w:pPr>
              <w:adjustRightInd w:val="0"/>
              <w:snapToGrid w:val="0"/>
              <w:ind w:firstLine="480"/>
              <w:rPr>
                <w:color w:val="auto"/>
                <w:kern w:val="0"/>
              </w:rPr>
            </w:pPr>
            <w:r>
              <w:rPr>
                <w:color w:val="auto"/>
                <w:kern w:val="0"/>
              </w:rPr>
              <w:t>③动力机械</w:t>
            </w:r>
            <w:r>
              <w:rPr>
                <w:rFonts w:hint="eastAsia"/>
                <w:color w:val="auto"/>
                <w:kern w:val="0"/>
              </w:rPr>
              <w:t>优先</w:t>
            </w:r>
            <w:r>
              <w:rPr>
                <w:color w:val="auto"/>
                <w:kern w:val="0"/>
              </w:rPr>
              <w:t>使用电动工具，严格控制内燃机械的使用，场内施工内燃机械如挖掘机等安置有效的</w:t>
            </w:r>
            <w:r>
              <w:rPr>
                <w:rFonts w:hint="eastAsia"/>
                <w:color w:val="auto"/>
                <w:kern w:val="0"/>
              </w:rPr>
              <w:t>净化</w:t>
            </w:r>
            <w:r>
              <w:rPr>
                <w:color w:val="auto"/>
                <w:kern w:val="0"/>
              </w:rPr>
              <w:t>装置，并定期清理</w:t>
            </w:r>
            <w:r>
              <w:rPr>
                <w:rFonts w:hint="eastAsia"/>
                <w:color w:val="auto"/>
                <w:kern w:val="0"/>
              </w:rPr>
              <w:t>；</w:t>
            </w:r>
          </w:p>
          <w:p w14:paraId="71AD7AC4">
            <w:pPr>
              <w:adjustRightInd w:val="0"/>
              <w:snapToGrid w:val="0"/>
              <w:ind w:firstLine="480"/>
              <w:rPr>
                <w:color w:val="auto"/>
                <w:kern w:val="0"/>
              </w:rPr>
            </w:pPr>
            <w:r>
              <w:rPr>
                <w:color w:val="auto"/>
                <w:kern w:val="0"/>
              </w:rPr>
              <w:t>④禁止使用废气排放超标的车辆。</w:t>
            </w:r>
          </w:p>
          <w:p w14:paraId="0718BB3D">
            <w:pPr>
              <w:adjustRightInd w:val="0"/>
              <w:snapToGrid w:val="0"/>
              <w:ind w:firstLine="480"/>
              <w:rPr>
                <w:color w:val="auto"/>
                <w:kern w:val="0"/>
              </w:rPr>
            </w:pPr>
            <w:r>
              <w:rPr>
                <w:rFonts w:hint="eastAsia"/>
                <w:color w:val="auto"/>
                <w:kern w:val="0"/>
              </w:rPr>
              <w:t>（3）本项目高峰期设置8台移动混凝土拌合机，产生少量拌合粉尘，拌合机加盖并辅以洒水降尘等措施，加之区域地形开阔，粉尘影响范围有限。</w:t>
            </w:r>
          </w:p>
          <w:p w14:paraId="274BB2C2">
            <w:pPr>
              <w:adjustRightInd w:val="0"/>
              <w:snapToGrid w:val="0"/>
              <w:ind w:firstLine="480"/>
              <w:rPr>
                <w:color w:val="auto"/>
                <w:kern w:val="0"/>
              </w:rPr>
            </w:pPr>
            <w:r>
              <w:rPr>
                <w:color w:val="auto"/>
                <w:kern w:val="0"/>
              </w:rPr>
              <w:t>综上所述，本项目施工期大气污染物采在取上述治理措施后，对周边环境影响较小，措施可行。</w:t>
            </w:r>
          </w:p>
          <w:p w14:paraId="1E157234">
            <w:pPr>
              <w:adjustRightInd w:val="0"/>
              <w:snapToGrid w:val="0"/>
              <w:ind w:firstLine="482"/>
              <w:rPr>
                <w:b/>
                <w:bCs/>
                <w:color w:val="auto"/>
                <w:kern w:val="0"/>
              </w:rPr>
            </w:pPr>
            <w:r>
              <w:rPr>
                <w:b/>
                <w:bCs/>
                <w:color w:val="auto"/>
                <w:kern w:val="0"/>
              </w:rPr>
              <w:t>三、水环境</w:t>
            </w:r>
            <w:r>
              <w:rPr>
                <w:rFonts w:hint="eastAsia"/>
                <w:b/>
                <w:bCs/>
                <w:color w:val="auto"/>
                <w:kern w:val="0"/>
              </w:rPr>
              <w:t>保护措施</w:t>
            </w:r>
          </w:p>
          <w:p w14:paraId="37CAF16F">
            <w:pPr>
              <w:adjustRightInd w:val="0"/>
              <w:snapToGrid w:val="0"/>
              <w:ind w:firstLine="480"/>
              <w:rPr>
                <w:color w:val="auto"/>
                <w:kern w:val="0"/>
              </w:rPr>
            </w:pPr>
            <w:r>
              <w:rPr>
                <w:rFonts w:hint="eastAsia"/>
                <w:color w:val="auto"/>
                <w:kern w:val="0"/>
              </w:rPr>
              <w:t>（</w:t>
            </w:r>
            <w:r>
              <w:rPr>
                <w:color w:val="auto"/>
                <w:kern w:val="0"/>
              </w:rPr>
              <w:t>1</w:t>
            </w:r>
            <w:r>
              <w:rPr>
                <w:rFonts w:hint="eastAsia"/>
                <w:color w:val="auto"/>
                <w:kern w:val="0"/>
              </w:rPr>
              <w:t>）</w:t>
            </w:r>
            <w:r>
              <w:rPr>
                <w:color w:val="auto"/>
                <w:kern w:val="0"/>
              </w:rPr>
              <w:t>生活污水</w:t>
            </w:r>
          </w:p>
          <w:p w14:paraId="7F9D002B">
            <w:pPr>
              <w:adjustRightInd w:val="0"/>
              <w:snapToGrid w:val="0"/>
              <w:ind w:firstLine="480"/>
              <w:rPr>
                <w:color w:val="auto"/>
                <w:kern w:val="0"/>
              </w:rPr>
            </w:pPr>
            <w:r>
              <w:rPr>
                <w:color w:val="auto"/>
                <w:kern w:val="0"/>
              </w:rPr>
              <w:t>施工期间工地不设宿舍、食堂，施工人员租用当地民房，且就近在餐馆就餐。项目生活污水通过租用民房既有的生活污水处理设施收集处理后用作于附近农林地肥用，不外排。</w:t>
            </w:r>
          </w:p>
          <w:p w14:paraId="451C7173">
            <w:pPr>
              <w:adjustRightInd w:val="0"/>
              <w:snapToGrid w:val="0"/>
              <w:ind w:firstLine="480"/>
              <w:rPr>
                <w:color w:val="auto"/>
                <w:kern w:val="0"/>
              </w:rPr>
            </w:pPr>
            <w:r>
              <w:rPr>
                <w:rFonts w:hint="eastAsia"/>
                <w:color w:val="auto"/>
                <w:kern w:val="0"/>
              </w:rPr>
              <w:t>（</w:t>
            </w:r>
            <w:r>
              <w:rPr>
                <w:color w:val="auto"/>
                <w:kern w:val="0"/>
              </w:rPr>
              <w:t>2</w:t>
            </w:r>
            <w:r>
              <w:rPr>
                <w:rFonts w:hint="eastAsia"/>
                <w:color w:val="auto"/>
                <w:kern w:val="0"/>
              </w:rPr>
              <w:t>）</w:t>
            </w:r>
            <w:r>
              <w:rPr>
                <w:color w:val="auto"/>
                <w:kern w:val="0"/>
              </w:rPr>
              <w:t>施工场地废水</w:t>
            </w:r>
          </w:p>
          <w:p w14:paraId="6F391E1E">
            <w:pPr>
              <w:adjustRightInd w:val="0"/>
              <w:snapToGrid w:val="0"/>
              <w:ind w:firstLine="480"/>
              <w:rPr>
                <w:color w:val="auto"/>
                <w:kern w:val="0"/>
              </w:rPr>
            </w:pPr>
            <w:r>
              <w:rPr>
                <w:rFonts w:hint="eastAsia"/>
                <w:color w:val="auto"/>
                <w:kern w:val="0"/>
              </w:rPr>
              <w:t>机械</w:t>
            </w:r>
            <w:r>
              <w:rPr>
                <w:color w:val="auto"/>
                <w:kern w:val="0"/>
              </w:rPr>
              <w:t>车辆冲洗等将产生少量废水主要污染物为SS</w:t>
            </w:r>
            <w:r>
              <w:rPr>
                <w:rFonts w:hint="eastAsia"/>
                <w:color w:val="auto"/>
                <w:kern w:val="0"/>
              </w:rPr>
              <w:t>、石油类</w:t>
            </w:r>
            <w:r>
              <w:rPr>
                <w:color w:val="auto"/>
                <w:kern w:val="0"/>
              </w:rPr>
              <w:t>。冲洗废水不得随意</w:t>
            </w:r>
            <w:r>
              <w:rPr>
                <w:rFonts w:hint="eastAsia"/>
                <w:color w:val="auto"/>
                <w:kern w:val="0"/>
              </w:rPr>
              <w:t>排放</w:t>
            </w:r>
            <w:r>
              <w:rPr>
                <w:color w:val="auto"/>
                <w:kern w:val="0"/>
              </w:rPr>
              <w:t>，设置隔油沉淀</w:t>
            </w:r>
            <w:r>
              <w:rPr>
                <w:rFonts w:hint="eastAsia"/>
                <w:color w:val="auto"/>
                <w:kern w:val="0"/>
              </w:rPr>
              <w:t>设施</w:t>
            </w:r>
            <w:r>
              <w:rPr>
                <w:color w:val="auto"/>
                <w:kern w:val="0"/>
              </w:rPr>
              <w:t>，废水经处理后回用于项目</w:t>
            </w:r>
            <w:r>
              <w:rPr>
                <w:rFonts w:hint="eastAsia"/>
                <w:color w:val="auto"/>
                <w:kern w:val="0"/>
              </w:rPr>
              <w:t>洒水降尘或设备冲洗等</w:t>
            </w:r>
            <w:r>
              <w:rPr>
                <w:color w:val="auto"/>
                <w:kern w:val="0"/>
              </w:rPr>
              <w:t>，不外排。</w:t>
            </w:r>
          </w:p>
          <w:p w14:paraId="7D4560D4">
            <w:pPr>
              <w:adjustRightInd w:val="0"/>
              <w:snapToGrid w:val="0"/>
              <w:ind w:firstLine="480"/>
              <w:rPr>
                <w:color w:val="auto"/>
                <w:kern w:val="0"/>
              </w:rPr>
            </w:pPr>
            <w:r>
              <w:rPr>
                <w:rFonts w:hint="eastAsia"/>
                <w:color w:val="auto"/>
                <w:kern w:val="0"/>
              </w:rPr>
              <w:t>（</w:t>
            </w:r>
            <w:r>
              <w:rPr>
                <w:color w:val="auto"/>
                <w:kern w:val="0"/>
              </w:rPr>
              <w:t>3</w:t>
            </w:r>
            <w:r>
              <w:rPr>
                <w:rFonts w:hint="eastAsia"/>
                <w:color w:val="auto"/>
                <w:kern w:val="0"/>
              </w:rPr>
              <w:t>）</w:t>
            </w:r>
            <w:r>
              <w:rPr>
                <w:color w:val="auto"/>
                <w:kern w:val="0"/>
              </w:rPr>
              <w:t>混凝土养护排水</w:t>
            </w:r>
          </w:p>
          <w:p w14:paraId="69A08FA3">
            <w:pPr>
              <w:adjustRightInd w:val="0"/>
              <w:snapToGrid w:val="0"/>
              <w:ind w:firstLine="480"/>
              <w:rPr>
                <w:color w:val="auto"/>
              </w:rPr>
            </w:pPr>
            <w:r>
              <w:rPr>
                <w:color w:val="auto"/>
              </w:rPr>
              <w:t>项目沟渠施工中混凝土养护用水量较小，废水中其主要污染物为SS，且项目沟渠线路较长，沟渠养护排水在沟渠内将自然蒸发。</w:t>
            </w:r>
          </w:p>
          <w:p w14:paraId="2921B08D">
            <w:pPr>
              <w:adjustRightInd w:val="0"/>
              <w:snapToGrid w:val="0"/>
              <w:ind w:firstLine="480"/>
              <w:rPr>
                <w:color w:val="auto"/>
                <w:kern w:val="0"/>
              </w:rPr>
            </w:pPr>
            <w:r>
              <w:rPr>
                <w:rFonts w:hint="eastAsia"/>
                <w:color w:val="auto"/>
                <w:kern w:val="0"/>
              </w:rPr>
              <w:t>（4）其他废污水防治措施</w:t>
            </w:r>
          </w:p>
          <w:p w14:paraId="2F2908C5">
            <w:pPr>
              <w:adjustRightInd w:val="0"/>
              <w:snapToGrid w:val="0"/>
              <w:ind w:firstLine="480"/>
              <w:rPr>
                <w:bCs/>
                <w:color w:val="auto"/>
                <w:szCs w:val="21"/>
              </w:rPr>
            </w:pPr>
            <w:r>
              <w:rPr>
                <w:rFonts w:hint="eastAsia"/>
                <w:bCs/>
                <w:color w:val="auto"/>
                <w:szCs w:val="21"/>
              </w:rPr>
              <w:t>做好施工场地周围的拦挡措施，尽量避免雨天开挖作业；同时要落实文明施工原则，施工期废污水不外排。</w:t>
            </w:r>
          </w:p>
          <w:p w14:paraId="48442129">
            <w:pPr>
              <w:adjustRightInd w:val="0"/>
              <w:snapToGrid w:val="0"/>
              <w:ind w:firstLine="480"/>
              <w:rPr>
                <w:bCs/>
                <w:color w:val="auto"/>
                <w:szCs w:val="21"/>
              </w:rPr>
            </w:pPr>
            <w:r>
              <w:rPr>
                <w:rFonts w:hint="eastAsia"/>
                <w:bCs/>
                <w:color w:val="auto"/>
                <w:szCs w:val="21"/>
              </w:rPr>
              <w:t>施工单位应加强对施工现场使用带油的机械器具的检修和维护，施工前应检查施工设备，禁止使用漏油设备，同时使用带油设备时应下铺吸油毡，防止油料“跑、冒、滴、漏”情况发生，防止对土壤和水体产生污染。</w:t>
            </w:r>
          </w:p>
          <w:p w14:paraId="4FB34C56">
            <w:pPr>
              <w:adjustRightInd w:val="0"/>
              <w:snapToGrid w:val="0"/>
              <w:ind w:firstLine="480"/>
              <w:rPr>
                <w:color w:val="auto"/>
                <w:kern w:val="0"/>
              </w:rPr>
            </w:pPr>
            <w:r>
              <w:rPr>
                <w:color w:val="auto"/>
                <w:kern w:val="0"/>
              </w:rPr>
              <w:t>综上，本项目废水不外排，</w:t>
            </w:r>
            <w:r>
              <w:rPr>
                <w:rFonts w:hint="eastAsia"/>
                <w:color w:val="auto"/>
                <w:kern w:val="0"/>
              </w:rPr>
              <w:t>在采取措施后</w:t>
            </w:r>
            <w:r>
              <w:rPr>
                <w:color w:val="auto"/>
                <w:kern w:val="0"/>
              </w:rPr>
              <w:t>不会对周边地表水环境造成影响。</w:t>
            </w:r>
          </w:p>
          <w:p w14:paraId="2C845D34">
            <w:pPr>
              <w:adjustRightInd w:val="0"/>
              <w:snapToGrid w:val="0"/>
              <w:ind w:firstLine="482"/>
              <w:rPr>
                <w:b/>
                <w:bCs/>
                <w:color w:val="auto"/>
                <w:kern w:val="0"/>
              </w:rPr>
            </w:pPr>
            <w:r>
              <w:rPr>
                <w:b/>
                <w:bCs/>
                <w:color w:val="auto"/>
                <w:kern w:val="0"/>
              </w:rPr>
              <w:t>四、声</w:t>
            </w:r>
            <w:r>
              <w:rPr>
                <w:rFonts w:hint="eastAsia"/>
                <w:b/>
                <w:bCs/>
                <w:color w:val="auto"/>
                <w:kern w:val="0"/>
              </w:rPr>
              <w:t>环境保护措施</w:t>
            </w:r>
          </w:p>
          <w:p w14:paraId="104EBF5A">
            <w:pPr>
              <w:adjustRightInd w:val="0"/>
              <w:snapToGrid w:val="0"/>
              <w:ind w:firstLine="480"/>
              <w:rPr>
                <w:color w:val="auto"/>
                <w:kern w:val="0"/>
              </w:rPr>
            </w:pPr>
            <w:r>
              <w:rPr>
                <w:color w:val="auto"/>
                <w:kern w:val="0"/>
              </w:rPr>
              <w:t>根据工程特性，运输车辆的行驶和施工设备的运转是分散的，噪声影响具有流动性和不稳定性。影响的程度主要取决于施工机械与敏感点的距离。因此环评提出如下建议</w:t>
            </w:r>
            <w:r>
              <w:rPr>
                <w:rFonts w:hint="eastAsia"/>
                <w:color w:val="auto"/>
                <w:kern w:val="0"/>
              </w:rPr>
              <w:t>：</w:t>
            </w:r>
          </w:p>
          <w:p w14:paraId="34BFBC6A">
            <w:pPr>
              <w:adjustRightInd w:val="0"/>
              <w:snapToGrid w:val="0"/>
              <w:ind w:firstLine="480"/>
              <w:rPr>
                <w:color w:val="auto"/>
                <w:kern w:val="0"/>
              </w:rPr>
            </w:pPr>
            <w:r>
              <w:rPr>
                <w:color w:val="auto"/>
                <w:kern w:val="0"/>
              </w:rPr>
              <w:t>①</w:t>
            </w:r>
            <w:bookmarkStart w:id="21" w:name="_Hlk217656343"/>
            <w:r>
              <w:rPr>
                <w:bCs/>
                <w:color w:val="auto"/>
                <w:szCs w:val="21"/>
              </w:rPr>
              <w:t>施工设备噪声水平应满足国家相关标准，优先采用低噪声施工设备，或采用带隔声、消声设计的设备，控制噪声源强。</w:t>
            </w:r>
            <w:bookmarkEnd w:id="21"/>
            <w:r>
              <w:rPr>
                <w:bCs/>
                <w:color w:val="auto"/>
                <w:szCs w:val="21"/>
              </w:rPr>
              <w:t>本环评建议施工作业应按《低噪声施工设备指导名录（2024年版）》（工业和信息化部 生态环境部 住房和城乡建设部 市场监管总局四部门公告2024年第40号），优先选用低噪声施工设备和运输工具。</w:t>
            </w:r>
            <w:r>
              <w:rPr>
                <w:color w:val="auto"/>
                <w:kern w:val="0"/>
              </w:rPr>
              <w:t>并加强对设备的维修保养，避免由于设备非正常工作而产生高噪声污染，同时定期维护和保养设备，使其处于良好的运行状态。</w:t>
            </w:r>
          </w:p>
          <w:p w14:paraId="380F9C2A">
            <w:pPr>
              <w:adjustRightInd w:val="0"/>
              <w:snapToGrid w:val="0"/>
              <w:ind w:firstLine="480"/>
              <w:rPr>
                <w:color w:val="auto"/>
                <w:kern w:val="0"/>
              </w:rPr>
            </w:pPr>
            <w:r>
              <w:rPr>
                <w:rFonts w:ascii="Cambria Math" w:hAnsi="Cambria Math" w:cs="Cambria Math"/>
                <w:color w:val="auto"/>
                <w:kern w:val="0"/>
              </w:rPr>
              <w:t>②</w:t>
            </w:r>
            <w:r>
              <w:rPr>
                <w:color w:val="auto"/>
                <w:kern w:val="0"/>
              </w:rPr>
              <w:t>夜间</w:t>
            </w:r>
            <w:r>
              <w:rPr>
                <w:rFonts w:hint="eastAsia"/>
                <w:color w:val="auto"/>
                <w:kern w:val="0"/>
              </w:rPr>
              <w:t>（</w:t>
            </w:r>
            <w:r>
              <w:rPr>
                <w:color w:val="auto"/>
                <w:kern w:val="0"/>
              </w:rPr>
              <w:t>22</w:t>
            </w:r>
            <w:r>
              <w:rPr>
                <w:rFonts w:hint="eastAsia"/>
                <w:color w:val="auto"/>
                <w:kern w:val="0"/>
              </w:rPr>
              <w:t>：</w:t>
            </w:r>
            <w:r>
              <w:rPr>
                <w:color w:val="auto"/>
                <w:kern w:val="0"/>
              </w:rPr>
              <w:t>00~6</w:t>
            </w:r>
            <w:r>
              <w:rPr>
                <w:rFonts w:hint="eastAsia"/>
                <w:color w:val="auto"/>
                <w:kern w:val="0"/>
              </w:rPr>
              <w:t>：</w:t>
            </w:r>
            <w:r>
              <w:rPr>
                <w:color w:val="auto"/>
                <w:kern w:val="0"/>
              </w:rPr>
              <w:t>00</w:t>
            </w:r>
            <w:r>
              <w:rPr>
                <w:rFonts w:hint="eastAsia"/>
                <w:color w:val="auto"/>
                <w:kern w:val="0"/>
              </w:rPr>
              <w:t>）</w:t>
            </w:r>
            <w:r>
              <w:rPr>
                <w:color w:val="auto"/>
                <w:kern w:val="0"/>
              </w:rPr>
              <w:t>禁止施工作业。因特殊需要必须连续作业的，必须有县级以上人民政府或者其有关主管部门的证明，并同时发布公告最大限度地争取民众支持。</w:t>
            </w:r>
          </w:p>
          <w:p w14:paraId="348C394D">
            <w:pPr>
              <w:adjustRightInd w:val="0"/>
              <w:snapToGrid w:val="0"/>
              <w:ind w:firstLine="480"/>
              <w:rPr>
                <w:color w:val="auto"/>
                <w:kern w:val="0"/>
              </w:rPr>
            </w:pPr>
            <w:r>
              <w:rPr>
                <w:color w:val="auto"/>
                <w:kern w:val="0"/>
              </w:rPr>
              <w:t>③</w:t>
            </w:r>
            <w:r>
              <w:rPr>
                <w:rFonts w:hint="eastAsia"/>
                <w:color w:val="auto"/>
                <w:kern w:val="0"/>
              </w:rPr>
              <w:t>优化施工组织，高噪声设备布置在远离居民侧，高噪声设备运行时设置临时围档。</w:t>
            </w:r>
            <w:r>
              <w:rPr>
                <w:color w:val="auto"/>
                <w:kern w:val="0"/>
              </w:rPr>
              <w:t>优化运输车辆进出施工场地路径，尽量避免在敏感目标附近逗留，</w:t>
            </w:r>
            <w:r>
              <w:rPr>
                <w:rFonts w:hint="eastAsia"/>
                <w:color w:val="auto"/>
                <w:kern w:val="0"/>
              </w:rPr>
              <w:t>途经</w:t>
            </w:r>
            <w:r>
              <w:rPr>
                <w:color w:val="auto"/>
                <w:kern w:val="0"/>
              </w:rPr>
              <w:t>敏感目标附近时禁止鸣笛。</w:t>
            </w:r>
          </w:p>
          <w:p w14:paraId="027F13CC">
            <w:pPr>
              <w:adjustRightInd w:val="0"/>
              <w:snapToGrid w:val="0"/>
              <w:ind w:firstLine="480"/>
              <w:rPr>
                <w:color w:val="auto"/>
                <w:kern w:val="0"/>
              </w:rPr>
            </w:pPr>
            <w:r>
              <w:rPr>
                <w:color w:val="auto"/>
                <w:kern w:val="0"/>
              </w:rPr>
              <w:t>④加强施工管理，合理制定施工计划。监理单位应做好施工</w:t>
            </w:r>
            <w:r>
              <w:rPr>
                <w:rFonts w:hint="eastAsia"/>
                <w:color w:val="auto"/>
                <w:kern w:val="0"/>
              </w:rPr>
              <w:t>期间</w:t>
            </w:r>
            <w:r>
              <w:rPr>
                <w:color w:val="auto"/>
                <w:kern w:val="0"/>
              </w:rPr>
              <w:t>噪声监</w:t>
            </w:r>
            <w:r>
              <w:rPr>
                <w:rFonts w:hint="eastAsia"/>
                <w:color w:val="auto"/>
                <w:kern w:val="0"/>
              </w:rPr>
              <w:t>测</w:t>
            </w:r>
            <w:r>
              <w:rPr>
                <w:color w:val="auto"/>
                <w:kern w:val="0"/>
              </w:rPr>
              <w:t>工作，配备一定数量的简易噪声测量仪器，对施工场</w:t>
            </w:r>
            <w:r>
              <w:rPr>
                <w:rFonts w:hint="eastAsia"/>
                <w:color w:val="auto"/>
                <w:kern w:val="0"/>
              </w:rPr>
              <w:t>地</w:t>
            </w:r>
            <w:r>
              <w:rPr>
                <w:color w:val="auto"/>
                <w:kern w:val="0"/>
              </w:rPr>
              <w:t>附近的居民点进行监测，以保证其不受噪声超标影响。</w:t>
            </w:r>
          </w:p>
          <w:p w14:paraId="1DD474A7">
            <w:pPr>
              <w:adjustRightInd w:val="0"/>
              <w:snapToGrid w:val="0"/>
              <w:ind w:firstLine="480"/>
              <w:rPr>
                <w:color w:val="auto"/>
                <w:kern w:val="0"/>
              </w:rPr>
            </w:pPr>
            <w:r>
              <w:rPr>
                <w:bCs/>
                <w:color w:val="auto"/>
                <w:szCs w:val="21"/>
              </w:rPr>
              <w:fldChar w:fldCharType="begin"/>
            </w:r>
            <w:r>
              <w:rPr>
                <w:bCs/>
                <w:color w:val="auto"/>
                <w:szCs w:val="21"/>
              </w:rPr>
              <w:instrText xml:space="preserve"> </w:instrText>
            </w:r>
            <w:r>
              <w:rPr>
                <w:rFonts w:hint="eastAsia"/>
                <w:bCs/>
                <w:color w:val="auto"/>
                <w:szCs w:val="21"/>
              </w:rPr>
              <w:instrText xml:space="preserve">= 5 \* GB3</w:instrText>
            </w:r>
            <w:r>
              <w:rPr>
                <w:bCs/>
                <w:color w:val="auto"/>
                <w:szCs w:val="21"/>
              </w:rPr>
              <w:instrText xml:space="preserve"> </w:instrText>
            </w:r>
            <w:r>
              <w:rPr>
                <w:bCs/>
                <w:color w:val="auto"/>
                <w:szCs w:val="21"/>
              </w:rPr>
              <w:fldChar w:fldCharType="separate"/>
            </w:r>
            <w:r>
              <w:rPr>
                <w:rFonts w:hint="eastAsia"/>
                <w:bCs/>
                <w:color w:val="auto"/>
                <w:szCs w:val="21"/>
              </w:rPr>
              <w:t>⑤</w:t>
            </w:r>
            <w:r>
              <w:rPr>
                <w:bCs/>
                <w:color w:val="auto"/>
                <w:szCs w:val="21"/>
              </w:rPr>
              <w:fldChar w:fldCharType="end"/>
            </w:r>
            <w:r>
              <w:rPr>
                <w:bCs/>
                <w:color w:val="auto"/>
                <w:szCs w:val="21"/>
              </w:rPr>
              <w:t>建设单位应当按照规定将噪声污染防治费用列入工程造价，在施工合同中明确施工单位的噪声污染防治责任。施工单位应当按照规定制定噪声污染防治实施方案，采取有效措施，减少振动、降低噪声。建设单位应当监督施工单位落实噪声污染防治实施方案。</w:t>
            </w:r>
          </w:p>
          <w:p w14:paraId="04825116">
            <w:pPr>
              <w:adjustRightInd w:val="0"/>
              <w:snapToGrid w:val="0"/>
              <w:ind w:firstLine="480"/>
              <w:rPr>
                <w:color w:val="auto"/>
                <w:kern w:val="0"/>
              </w:rPr>
            </w:pPr>
            <w:r>
              <w:rPr>
                <w:color w:val="auto"/>
                <w:kern w:val="0"/>
              </w:rPr>
              <w:fldChar w:fldCharType="begin"/>
            </w:r>
            <w:r>
              <w:rPr>
                <w:color w:val="auto"/>
                <w:kern w:val="0"/>
              </w:rPr>
              <w:instrText xml:space="preserve"> </w:instrText>
            </w:r>
            <w:r>
              <w:rPr>
                <w:rFonts w:hint="eastAsia"/>
                <w:color w:val="auto"/>
                <w:kern w:val="0"/>
              </w:rPr>
              <w:instrText xml:space="preserve">= 6 \* GB3</w:instrText>
            </w:r>
            <w:r>
              <w:rPr>
                <w:color w:val="auto"/>
                <w:kern w:val="0"/>
              </w:rPr>
              <w:instrText xml:space="preserve"> </w:instrText>
            </w:r>
            <w:r>
              <w:rPr>
                <w:color w:val="auto"/>
                <w:kern w:val="0"/>
              </w:rPr>
              <w:fldChar w:fldCharType="separate"/>
            </w:r>
            <w:r>
              <w:rPr>
                <w:rFonts w:hint="eastAsia"/>
                <w:color w:val="auto"/>
                <w:kern w:val="0"/>
              </w:rPr>
              <w:t>⑥</w:t>
            </w:r>
            <w:r>
              <w:rPr>
                <w:color w:val="auto"/>
                <w:kern w:val="0"/>
              </w:rPr>
              <w:fldChar w:fldCharType="end"/>
            </w:r>
            <w:r>
              <w:rPr>
                <w:color w:val="auto"/>
                <w:kern w:val="0"/>
              </w:rPr>
              <w:t>根据《</w:t>
            </w:r>
            <w:r>
              <w:rPr>
                <w:rFonts w:hint="eastAsia"/>
                <w:color w:val="auto"/>
                <w:kern w:val="0"/>
              </w:rPr>
              <w:t>中华人民共和国</w:t>
            </w:r>
            <w:r>
              <w:rPr>
                <w:color w:val="auto"/>
                <w:kern w:val="0"/>
              </w:rPr>
              <w:t>生态环境法典》</w:t>
            </w:r>
            <w:r>
              <w:rPr>
                <w:rFonts w:hint="eastAsia"/>
                <w:color w:val="auto"/>
                <w:kern w:val="0"/>
              </w:rPr>
              <w:t>等法规要求</w:t>
            </w:r>
            <w:r>
              <w:rPr>
                <w:color w:val="auto"/>
                <w:kern w:val="0"/>
              </w:rPr>
              <w:t>，为在中、高考期间保证考生在一个安静的学习、休息和参考环境，中、高考期间禁止进行产生噪声污染的建设施工。因此，环评要求项目在选择物料运输路线时应避开学校及考试区域，尽量避免对区域学校正常上课、考试等的影响。</w:t>
            </w:r>
          </w:p>
          <w:p w14:paraId="166D5B16">
            <w:pPr>
              <w:adjustRightInd w:val="0"/>
              <w:snapToGrid w:val="0"/>
              <w:ind w:firstLine="480"/>
              <w:rPr>
                <w:color w:val="auto"/>
                <w:kern w:val="0"/>
              </w:rPr>
            </w:pPr>
            <w:r>
              <w:rPr>
                <w:color w:val="auto"/>
                <w:kern w:val="0"/>
              </w:rPr>
              <w:t>项目通过采取以上噪声污染防治措施后，施工期间的场界噪声能满足</w:t>
            </w:r>
            <w:r>
              <w:rPr>
                <w:rFonts w:hint="eastAsia"/>
                <w:color w:val="auto"/>
                <w:kern w:val="0"/>
              </w:rPr>
              <w:t>《建筑施工噪声排放标准》（GB12523-2025）</w:t>
            </w:r>
            <w:r>
              <w:rPr>
                <w:color w:val="auto"/>
                <w:kern w:val="0"/>
              </w:rPr>
              <w:t>标准的要求，噪声影响可以降到人们可接受范围内，且施工噪声的影响是有限的、暂时的，会随着施工期的结束而消失。</w:t>
            </w:r>
          </w:p>
          <w:p w14:paraId="7C4C2744">
            <w:pPr>
              <w:adjustRightInd w:val="0"/>
              <w:snapToGrid w:val="0"/>
              <w:ind w:firstLine="482"/>
              <w:rPr>
                <w:color w:val="auto"/>
                <w:kern w:val="0"/>
              </w:rPr>
            </w:pPr>
            <w:r>
              <w:rPr>
                <w:b/>
                <w:bCs/>
                <w:color w:val="auto"/>
                <w:kern w:val="0"/>
              </w:rPr>
              <w:t>5、固废污染防治措施</w:t>
            </w:r>
          </w:p>
          <w:p w14:paraId="108B5876">
            <w:pPr>
              <w:ind w:firstLine="480"/>
              <w:rPr>
                <w:color w:val="auto"/>
              </w:rPr>
            </w:pPr>
            <w:r>
              <w:rPr>
                <w:rFonts w:hint="eastAsia"/>
                <w:color w:val="auto"/>
                <w:kern w:val="0"/>
              </w:rPr>
              <w:t>（</w:t>
            </w:r>
            <w:r>
              <w:rPr>
                <w:color w:val="auto"/>
                <w:kern w:val="0"/>
              </w:rPr>
              <w:t>1</w:t>
            </w:r>
            <w:r>
              <w:rPr>
                <w:rFonts w:hint="eastAsia"/>
                <w:color w:val="auto"/>
                <w:kern w:val="0"/>
              </w:rPr>
              <w:t>）</w:t>
            </w:r>
            <w:r>
              <w:rPr>
                <w:color w:val="auto"/>
              </w:rPr>
              <w:t>开挖土石方</w:t>
            </w:r>
          </w:p>
          <w:p w14:paraId="4CCD6AFA">
            <w:pPr>
              <w:ind w:firstLine="480"/>
              <w:rPr>
                <w:color w:val="auto"/>
              </w:rPr>
            </w:pPr>
            <w:r>
              <w:rPr>
                <w:color w:val="auto"/>
              </w:rPr>
              <w:t>根据主体设计资料分析及现场踏勘复核，本</w:t>
            </w:r>
            <w:r>
              <w:rPr>
                <w:rFonts w:hint="eastAsia"/>
                <w:color w:val="auto"/>
              </w:rPr>
              <w:t>工程土石方开挖总量8.89万m</w:t>
            </w:r>
            <w:r>
              <w:rPr>
                <w:color w:val="auto"/>
              </w:rPr>
              <w:t>³</w:t>
            </w:r>
            <w:r>
              <w:rPr>
                <w:rFonts w:hint="eastAsia"/>
                <w:color w:val="auto"/>
              </w:rPr>
              <w:t>（自然方，下同，其中表土剥离0.81万m</w:t>
            </w:r>
            <w:r>
              <w:rPr>
                <w:color w:val="auto"/>
              </w:rPr>
              <w:t>³</w:t>
            </w:r>
            <w:r>
              <w:rPr>
                <w:rFonts w:hint="eastAsia"/>
                <w:color w:val="auto"/>
              </w:rPr>
              <w:t>），填方总量8.89万m</w:t>
            </w:r>
            <w:r>
              <w:rPr>
                <w:color w:val="auto"/>
              </w:rPr>
              <w:t>³</w:t>
            </w:r>
            <w:r>
              <w:rPr>
                <w:rFonts w:hint="eastAsia"/>
                <w:color w:val="auto"/>
              </w:rPr>
              <w:t>（其中表土回覆0.81万m</w:t>
            </w:r>
            <w:r>
              <w:rPr>
                <w:color w:val="auto"/>
              </w:rPr>
              <w:t>³</w:t>
            </w:r>
            <w:r>
              <w:rPr>
                <w:rFonts w:hint="eastAsia"/>
                <w:color w:val="auto"/>
              </w:rPr>
              <w:t>），无借方，无弃方。</w:t>
            </w:r>
          </w:p>
          <w:p w14:paraId="7F8DD6ED">
            <w:pPr>
              <w:adjustRightInd w:val="0"/>
              <w:snapToGrid w:val="0"/>
              <w:ind w:firstLine="480"/>
              <w:rPr>
                <w:color w:val="auto"/>
                <w:kern w:val="0"/>
              </w:rPr>
            </w:pPr>
            <w:r>
              <w:rPr>
                <w:rFonts w:hint="eastAsia"/>
                <w:color w:val="auto"/>
                <w:kern w:val="0"/>
              </w:rPr>
              <w:t>（2）</w:t>
            </w:r>
            <w:r>
              <w:rPr>
                <w:color w:val="auto"/>
                <w:kern w:val="0"/>
              </w:rPr>
              <w:t>生活垃圾</w:t>
            </w:r>
          </w:p>
          <w:p w14:paraId="7F7B47B1">
            <w:pPr>
              <w:adjustRightInd w:val="0"/>
              <w:snapToGrid w:val="0"/>
              <w:ind w:firstLine="480"/>
              <w:rPr>
                <w:color w:val="auto"/>
                <w:kern w:val="0"/>
              </w:rPr>
            </w:pPr>
            <w:r>
              <w:rPr>
                <w:color w:val="auto"/>
                <w:kern w:val="0"/>
              </w:rPr>
              <w:t>施工期施工人员每日产生的生活垃圾经袋装收集，由环卫部门统一收运处置，不会对当地环境产生影响。</w:t>
            </w:r>
          </w:p>
          <w:p w14:paraId="0630A4BB">
            <w:pPr>
              <w:adjustRightInd w:val="0"/>
              <w:snapToGrid w:val="0"/>
              <w:ind w:firstLine="480"/>
              <w:rPr>
                <w:color w:val="auto"/>
                <w:kern w:val="0"/>
              </w:rPr>
            </w:pPr>
            <w:r>
              <w:rPr>
                <w:rFonts w:hint="eastAsia"/>
                <w:color w:val="auto"/>
                <w:kern w:val="0"/>
              </w:rPr>
              <w:t>（3）隔油沉渣</w:t>
            </w:r>
          </w:p>
          <w:p w14:paraId="34C69211">
            <w:pPr>
              <w:adjustRightInd w:val="0"/>
              <w:snapToGrid w:val="0"/>
              <w:ind w:firstLine="480"/>
              <w:rPr>
                <w:color w:val="auto"/>
                <w:kern w:val="0"/>
              </w:rPr>
            </w:pPr>
            <w:r>
              <w:rPr>
                <w:rFonts w:hint="eastAsia"/>
                <w:color w:val="auto"/>
                <w:kern w:val="0"/>
              </w:rPr>
              <w:t>工程采用隔油沉淀工艺处理施工废水，处理过程中产生一定量的隔油废渣，交由有资质单位收运处置。</w:t>
            </w:r>
          </w:p>
          <w:p w14:paraId="377A4C69">
            <w:pPr>
              <w:adjustRightInd w:val="0"/>
              <w:snapToGrid w:val="0"/>
              <w:ind w:firstLine="480"/>
              <w:rPr>
                <w:color w:val="auto"/>
                <w:kern w:val="0"/>
              </w:rPr>
            </w:pPr>
            <w:r>
              <w:rPr>
                <w:rFonts w:hint="eastAsia"/>
                <w:color w:val="auto"/>
                <w:kern w:val="0"/>
              </w:rPr>
              <w:t>（4）</w:t>
            </w:r>
            <w:r>
              <w:rPr>
                <w:color w:val="auto"/>
                <w:kern w:val="0"/>
              </w:rPr>
              <w:t>建筑垃圾</w:t>
            </w:r>
          </w:p>
          <w:p w14:paraId="69D21C67">
            <w:pPr>
              <w:ind w:firstLine="480"/>
              <w:rPr>
                <w:color w:val="auto"/>
              </w:rPr>
            </w:pPr>
            <w:r>
              <w:rPr>
                <w:color w:val="auto"/>
              </w:rPr>
              <w:t>项目建筑垃圾主要来自施工作业，包括基础开挖产生的砂石及石块、施工产生的废水泥、废木料、废钢筋等杂物，如不及时处理不仅有碍观瞻，影响景观，且在遇大风及干燥天气时将产生扬尘。施工单位应在施工现场设置建筑废弃物临时堆场</w:t>
            </w:r>
            <w:r>
              <w:rPr>
                <w:rFonts w:hint="eastAsia"/>
                <w:color w:val="auto"/>
              </w:rPr>
              <w:t>标识牌</w:t>
            </w:r>
            <w:r>
              <w:rPr>
                <w:color w:val="auto"/>
              </w:rPr>
              <w:t>并进行防雨、防泄漏处理，临时堆场设置在用地范围内。施工生产的废料首先应考虑</w:t>
            </w:r>
            <w:r>
              <w:rPr>
                <w:rFonts w:hint="eastAsia"/>
                <w:color w:val="auto"/>
              </w:rPr>
              <w:t>废料</w:t>
            </w:r>
            <w:r>
              <w:rPr>
                <w:color w:val="auto"/>
              </w:rPr>
              <w:t>的回收利用</w:t>
            </w:r>
            <w:r>
              <w:rPr>
                <w:rFonts w:hint="eastAsia"/>
                <w:color w:val="auto"/>
              </w:rPr>
              <w:t>，</w:t>
            </w:r>
            <w:r>
              <w:rPr>
                <w:color w:val="auto"/>
              </w:rPr>
              <w:t>对钢筋、钢板、木材等</w:t>
            </w:r>
            <w:r>
              <w:rPr>
                <w:rFonts w:hint="eastAsia"/>
                <w:color w:val="auto"/>
              </w:rPr>
              <w:t>下脚料</w:t>
            </w:r>
            <w:r>
              <w:rPr>
                <w:color w:val="auto"/>
              </w:rPr>
              <w:t>可分类回收，交废物收购站处理</w:t>
            </w:r>
            <w:r>
              <w:rPr>
                <w:rFonts w:hint="eastAsia"/>
                <w:color w:val="auto"/>
              </w:rPr>
              <w:t>；</w:t>
            </w:r>
            <w:r>
              <w:rPr>
                <w:color w:val="auto"/>
              </w:rPr>
              <w:t>对不能回收的建筑垃圾，如混凝土废料、含砖、砂石等及时清运到政府部门指定的建筑垃圾堆放场，严禁随意倾倒、填埋，从而可以避免工程废料造成二次污染。</w:t>
            </w:r>
          </w:p>
          <w:p w14:paraId="3C988777">
            <w:pPr>
              <w:adjustRightInd w:val="0"/>
              <w:snapToGrid w:val="0"/>
              <w:ind w:firstLine="480"/>
              <w:rPr>
                <w:color w:val="auto"/>
                <w:kern w:val="0"/>
              </w:rPr>
            </w:pPr>
            <w:r>
              <w:rPr>
                <w:color w:val="auto"/>
                <w:kern w:val="0"/>
              </w:rPr>
              <w:t>外运以上各种建筑垃圾及弃方时，必须严格按照《四川省建筑工程扬尘污染防治技术导则</w:t>
            </w:r>
            <w:r>
              <w:rPr>
                <w:rFonts w:hint="eastAsia"/>
                <w:color w:val="auto"/>
                <w:kern w:val="0"/>
              </w:rPr>
              <w:t>（</w:t>
            </w:r>
            <w:r>
              <w:rPr>
                <w:color w:val="auto"/>
                <w:kern w:val="0"/>
              </w:rPr>
              <w:t>试行</w:t>
            </w:r>
            <w:r>
              <w:rPr>
                <w:rFonts w:hint="eastAsia"/>
                <w:color w:val="auto"/>
                <w:kern w:val="0"/>
              </w:rPr>
              <w:t>）</w:t>
            </w:r>
            <w:r>
              <w:rPr>
                <w:color w:val="auto"/>
                <w:kern w:val="0"/>
              </w:rPr>
              <w:t>》中的要求建筑施工单位在施工工地应当设置硬质密闭围挡，并采取抑尘降尘措施。建筑土方、工程渣土等建筑垃圾应当及时清运，在场地内堆存的应当密闭遮盖。暂时不能开工的建设用地，应当由享有土地使用权的单位负责对裸露地面进行覆盖。</w:t>
            </w:r>
          </w:p>
          <w:p w14:paraId="4291B739">
            <w:pPr>
              <w:adjustRightInd w:val="0"/>
              <w:snapToGrid w:val="0"/>
              <w:ind w:firstLine="480"/>
              <w:rPr>
                <w:color w:val="auto"/>
                <w:kern w:val="0"/>
              </w:rPr>
            </w:pPr>
            <w:r>
              <w:rPr>
                <w:color w:val="auto"/>
                <w:kern w:val="0"/>
              </w:rPr>
              <w:t>项目建筑垃圾及弃方在运输过程中，需满足以下要求</w:t>
            </w:r>
            <w:r>
              <w:rPr>
                <w:rFonts w:hint="eastAsia"/>
                <w:color w:val="auto"/>
                <w:kern w:val="0"/>
              </w:rPr>
              <w:t>：</w:t>
            </w:r>
          </w:p>
          <w:p w14:paraId="6B2EDB1F">
            <w:pPr>
              <w:adjustRightInd w:val="0"/>
              <w:snapToGrid w:val="0"/>
              <w:ind w:firstLine="480"/>
              <w:rPr>
                <w:color w:val="auto"/>
                <w:kern w:val="0"/>
              </w:rPr>
            </w:pPr>
            <w:r>
              <w:rPr>
                <w:color w:val="auto"/>
                <w:kern w:val="0"/>
              </w:rPr>
              <w:t>①装车过程中加强管理，规范操作，尽量降低物料落差，减少扬尘产生量</w:t>
            </w:r>
            <w:r>
              <w:rPr>
                <w:rFonts w:hint="eastAsia"/>
                <w:color w:val="auto"/>
                <w:kern w:val="0"/>
              </w:rPr>
              <w:t>；</w:t>
            </w:r>
          </w:p>
          <w:p w14:paraId="7F993728">
            <w:pPr>
              <w:adjustRightInd w:val="0"/>
              <w:snapToGrid w:val="0"/>
              <w:ind w:firstLine="480"/>
              <w:rPr>
                <w:color w:val="auto"/>
                <w:kern w:val="0"/>
              </w:rPr>
            </w:pPr>
            <w:r>
              <w:rPr>
                <w:color w:val="auto"/>
                <w:kern w:val="0"/>
              </w:rPr>
              <w:t>②运输车辆应完好，运输时采用篷布进行遮盖，以免物料逸散造成扬尘污染，不得沿途丢弃、遗撒渣土和建筑垃圾</w:t>
            </w:r>
            <w:r>
              <w:rPr>
                <w:rFonts w:hint="eastAsia"/>
                <w:color w:val="auto"/>
                <w:kern w:val="0"/>
              </w:rPr>
              <w:t>；</w:t>
            </w:r>
          </w:p>
          <w:p w14:paraId="33E60653">
            <w:pPr>
              <w:adjustRightInd w:val="0"/>
              <w:snapToGrid w:val="0"/>
              <w:ind w:firstLine="480"/>
              <w:rPr>
                <w:color w:val="auto"/>
                <w:kern w:val="0"/>
              </w:rPr>
            </w:pPr>
            <w:r>
              <w:rPr>
                <w:color w:val="auto"/>
                <w:kern w:val="0"/>
              </w:rPr>
              <w:t>③车辆运输起尘量与车速有关，因此要求限制车辆行驶速度，运输弃方不应装</w:t>
            </w:r>
            <w:r>
              <w:rPr>
                <w:rFonts w:hint="eastAsia"/>
                <w:color w:val="auto"/>
                <w:kern w:val="0"/>
              </w:rPr>
              <w:t>得</w:t>
            </w:r>
            <w:r>
              <w:rPr>
                <w:color w:val="auto"/>
                <w:kern w:val="0"/>
              </w:rPr>
              <w:t>过满，避免超速超载</w:t>
            </w:r>
            <w:r>
              <w:rPr>
                <w:rFonts w:hint="eastAsia"/>
                <w:color w:val="auto"/>
                <w:kern w:val="0"/>
              </w:rPr>
              <w:t>；</w:t>
            </w:r>
          </w:p>
          <w:p w14:paraId="1A8D5D52">
            <w:pPr>
              <w:adjustRightInd w:val="0"/>
              <w:snapToGrid w:val="0"/>
              <w:ind w:firstLine="480"/>
              <w:rPr>
                <w:color w:val="auto"/>
                <w:kern w:val="0"/>
              </w:rPr>
            </w:pPr>
            <w:r>
              <w:rPr>
                <w:color w:val="auto"/>
                <w:kern w:val="0"/>
              </w:rPr>
              <w:t>④车辆运输前先对车轮及车身进行冲洗，严禁车身、车轮夹带泥土等建筑垃圾和渣土出场</w:t>
            </w:r>
            <w:r>
              <w:rPr>
                <w:rFonts w:hint="eastAsia"/>
                <w:color w:val="auto"/>
                <w:kern w:val="0"/>
              </w:rPr>
              <w:t>；</w:t>
            </w:r>
          </w:p>
          <w:p w14:paraId="3C41CAFC">
            <w:pPr>
              <w:adjustRightInd w:val="0"/>
              <w:snapToGrid w:val="0"/>
              <w:ind w:firstLine="480"/>
              <w:rPr>
                <w:color w:val="auto"/>
                <w:kern w:val="0"/>
              </w:rPr>
            </w:pPr>
            <w:r>
              <w:rPr>
                <w:color w:val="auto"/>
                <w:kern w:val="0"/>
              </w:rPr>
              <w:t>⑤渣车在通过平交道口时应严格遵照交通信号灯指示，严禁随意通行</w:t>
            </w:r>
            <w:r>
              <w:rPr>
                <w:rFonts w:hint="eastAsia"/>
                <w:color w:val="auto"/>
                <w:kern w:val="0"/>
              </w:rPr>
              <w:t>；</w:t>
            </w:r>
          </w:p>
          <w:p w14:paraId="4315083A">
            <w:pPr>
              <w:adjustRightInd w:val="0"/>
              <w:snapToGrid w:val="0"/>
              <w:ind w:firstLine="480"/>
              <w:rPr>
                <w:color w:val="auto"/>
                <w:kern w:val="0"/>
              </w:rPr>
            </w:pPr>
            <w:r>
              <w:rPr>
                <w:color w:val="auto"/>
                <w:kern w:val="0"/>
              </w:rPr>
              <w:t>⑥运输线路尽量避免经过居民集聚区和交通拥堵区，以减少对居民及交通的影响。</w:t>
            </w:r>
          </w:p>
          <w:p w14:paraId="18E97B61">
            <w:pPr>
              <w:adjustRightInd w:val="0"/>
              <w:snapToGrid w:val="0"/>
              <w:ind w:firstLine="480"/>
              <w:rPr>
                <w:color w:val="auto"/>
                <w:kern w:val="0"/>
              </w:rPr>
            </w:pPr>
            <w:r>
              <w:rPr>
                <w:color w:val="auto"/>
                <w:kern w:val="0"/>
              </w:rPr>
              <w:t>综上所述，本项目施工期产生的固体废弃物去向明确，且都可以得到妥善</w:t>
            </w:r>
            <w:r>
              <w:rPr>
                <w:rFonts w:hint="eastAsia"/>
                <w:color w:val="auto"/>
                <w:kern w:val="0"/>
              </w:rPr>
              <w:t>地</w:t>
            </w:r>
            <w:r>
              <w:rPr>
                <w:color w:val="auto"/>
                <w:kern w:val="0"/>
              </w:rPr>
              <w:t>处理，不会对周围环境产生明显不利影响。</w:t>
            </w:r>
          </w:p>
          <w:p w14:paraId="502EF7B4">
            <w:pPr>
              <w:adjustRightInd w:val="0"/>
              <w:snapToGrid w:val="0"/>
              <w:ind w:firstLine="482"/>
              <w:rPr>
                <w:b/>
                <w:bCs/>
                <w:color w:val="auto"/>
                <w:kern w:val="0"/>
              </w:rPr>
            </w:pPr>
            <w:r>
              <w:rPr>
                <w:b/>
                <w:bCs/>
                <w:color w:val="auto"/>
                <w:kern w:val="0"/>
              </w:rPr>
              <w:t>六、地下水和土壤污染防治措施</w:t>
            </w:r>
          </w:p>
          <w:p w14:paraId="34E18876">
            <w:pPr>
              <w:adjustRightInd w:val="0"/>
              <w:snapToGrid w:val="0"/>
              <w:ind w:firstLine="480"/>
              <w:rPr>
                <w:color w:val="auto"/>
                <w:kern w:val="0"/>
              </w:rPr>
            </w:pPr>
            <w:r>
              <w:rPr>
                <w:rFonts w:hint="eastAsia"/>
                <w:color w:val="auto"/>
                <w:kern w:val="0"/>
              </w:rPr>
              <w:t>（</w:t>
            </w:r>
            <w:r>
              <w:rPr>
                <w:color w:val="auto"/>
                <w:kern w:val="0"/>
              </w:rPr>
              <w:t>1</w:t>
            </w:r>
            <w:r>
              <w:rPr>
                <w:rFonts w:hint="eastAsia"/>
                <w:color w:val="auto"/>
                <w:kern w:val="0"/>
              </w:rPr>
              <w:t>）</w:t>
            </w:r>
            <w:r>
              <w:rPr>
                <w:color w:val="auto"/>
                <w:kern w:val="0"/>
              </w:rPr>
              <w:t>加强施工机械管理，</w:t>
            </w:r>
            <w:r>
              <w:rPr>
                <w:rFonts w:hint="eastAsia"/>
                <w:bCs/>
                <w:color w:val="auto"/>
                <w:szCs w:val="21"/>
              </w:rPr>
              <w:t>施工单位应加强对施工现场使用带油的机械器具的检修和维护，施工前应检查施工设备，禁止使用漏油设备，同时使用带油设备时应下铺吸油毡，防止油料“跑、冒、滴、漏”情况发生，</w:t>
            </w:r>
            <w:r>
              <w:rPr>
                <w:color w:val="auto"/>
                <w:kern w:val="0"/>
              </w:rPr>
              <w:t>一旦发现渗漏立刻做出相应的处置措施，防止油品泄漏造成地下水和土壤的污染</w:t>
            </w:r>
            <w:r>
              <w:rPr>
                <w:rFonts w:hint="eastAsia"/>
                <w:color w:val="auto"/>
                <w:kern w:val="0"/>
              </w:rPr>
              <w:t>。</w:t>
            </w:r>
          </w:p>
          <w:p w14:paraId="4B3CE910">
            <w:pPr>
              <w:adjustRightInd w:val="0"/>
              <w:snapToGrid w:val="0"/>
              <w:ind w:firstLine="480"/>
              <w:rPr>
                <w:color w:val="auto"/>
                <w:kern w:val="0"/>
              </w:rPr>
            </w:pPr>
            <w:r>
              <w:rPr>
                <w:rFonts w:hint="eastAsia"/>
                <w:color w:val="auto"/>
                <w:kern w:val="0"/>
              </w:rPr>
              <w:t>（</w:t>
            </w:r>
            <w:r>
              <w:rPr>
                <w:color w:val="auto"/>
                <w:kern w:val="0"/>
              </w:rPr>
              <w:t>2</w:t>
            </w:r>
            <w:r>
              <w:rPr>
                <w:rFonts w:hint="eastAsia"/>
                <w:color w:val="auto"/>
                <w:kern w:val="0"/>
              </w:rPr>
              <w:t>）</w:t>
            </w:r>
            <w:r>
              <w:rPr>
                <w:color w:val="auto"/>
                <w:kern w:val="0"/>
              </w:rPr>
              <w:t>及时清掏沉淀池，防止因沉淀渣堆积使沉淀池污水外溢，进而污染地下水和土壤。</w:t>
            </w:r>
          </w:p>
          <w:p w14:paraId="7AC5EE9D">
            <w:pPr>
              <w:adjustRightInd w:val="0"/>
              <w:snapToGrid w:val="0"/>
              <w:ind w:firstLine="480"/>
              <w:rPr>
                <w:color w:val="auto"/>
                <w:kern w:val="0"/>
              </w:rPr>
            </w:pPr>
            <w:r>
              <w:rPr>
                <w:rFonts w:hint="eastAsia"/>
                <w:color w:val="auto"/>
                <w:kern w:val="0"/>
              </w:rPr>
              <w:t>（</w:t>
            </w:r>
            <w:r>
              <w:rPr>
                <w:color w:val="auto"/>
                <w:kern w:val="0"/>
              </w:rPr>
              <w:t>3</w:t>
            </w:r>
            <w:r>
              <w:rPr>
                <w:rFonts w:hint="eastAsia"/>
                <w:color w:val="auto"/>
                <w:kern w:val="0"/>
              </w:rPr>
              <w:t>）</w:t>
            </w:r>
            <w:r>
              <w:rPr>
                <w:color w:val="auto"/>
                <w:kern w:val="0"/>
              </w:rPr>
              <w:t>施工场地的沉淀池都必须经过防渗处置。</w:t>
            </w:r>
          </w:p>
          <w:p w14:paraId="165FFB24">
            <w:pPr>
              <w:adjustRightInd w:val="0"/>
              <w:snapToGrid w:val="0"/>
              <w:ind w:firstLine="482"/>
              <w:rPr>
                <w:color w:val="auto"/>
                <w:kern w:val="0"/>
              </w:rPr>
            </w:pPr>
            <w:r>
              <w:rPr>
                <w:b/>
                <w:bCs/>
                <w:color w:val="auto"/>
                <w:kern w:val="0"/>
              </w:rPr>
              <w:t>七、项目风险分析</w:t>
            </w:r>
          </w:p>
          <w:p w14:paraId="7B326286">
            <w:pPr>
              <w:adjustRightInd w:val="0"/>
              <w:snapToGrid w:val="0"/>
              <w:ind w:firstLine="480"/>
              <w:rPr>
                <w:color w:val="auto"/>
                <w:kern w:val="0"/>
              </w:rPr>
            </w:pPr>
            <w:r>
              <w:rPr>
                <w:color w:val="auto"/>
                <w:kern w:val="0"/>
              </w:rPr>
              <w:t>根据《建设项目环境风险评价技术导则》</w:t>
            </w:r>
            <w:r>
              <w:rPr>
                <w:rFonts w:hint="eastAsia"/>
                <w:color w:val="auto"/>
                <w:kern w:val="0"/>
              </w:rPr>
              <w:t>（</w:t>
            </w:r>
            <w:r>
              <w:rPr>
                <w:color w:val="auto"/>
                <w:kern w:val="0"/>
              </w:rPr>
              <w:t>HJ169-2018</w:t>
            </w:r>
            <w:r>
              <w:rPr>
                <w:rFonts w:hint="eastAsia"/>
                <w:color w:val="auto"/>
                <w:kern w:val="0"/>
              </w:rPr>
              <w:t>）</w:t>
            </w:r>
            <w:r>
              <w:rPr>
                <w:color w:val="auto"/>
                <w:kern w:val="0"/>
              </w:rPr>
              <w:t>相关技术要求，本评价将对施工过程中可能发生的事故风险进行环境影响分析，提出防范及应急措施，力求将环境风险</w:t>
            </w:r>
            <w:r>
              <w:rPr>
                <w:rFonts w:hint="eastAsia"/>
                <w:color w:val="auto"/>
                <w:kern w:val="0"/>
              </w:rPr>
              <w:t>降</w:t>
            </w:r>
            <w:r>
              <w:rPr>
                <w:color w:val="auto"/>
                <w:kern w:val="0"/>
              </w:rPr>
              <w:t>至最低。</w:t>
            </w:r>
          </w:p>
          <w:p w14:paraId="56FAB5B3">
            <w:pPr>
              <w:adjustRightInd w:val="0"/>
              <w:snapToGrid w:val="0"/>
              <w:ind w:firstLine="480"/>
              <w:rPr>
                <w:color w:val="auto"/>
                <w:kern w:val="0"/>
              </w:rPr>
            </w:pPr>
            <w:r>
              <w:rPr>
                <w:rFonts w:hint="eastAsia"/>
                <w:color w:val="auto"/>
                <w:kern w:val="0"/>
              </w:rPr>
              <w:t>（</w:t>
            </w:r>
            <w:r>
              <w:rPr>
                <w:color w:val="auto"/>
                <w:kern w:val="0"/>
              </w:rPr>
              <w:t>1</w:t>
            </w:r>
            <w:r>
              <w:rPr>
                <w:rFonts w:hint="eastAsia"/>
                <w:color w:val="auto"/>
                <w:kern w:val="0"/>
              </w:rPr>
              <w:t>）</w:t>
            </w:r>
            <w:r>
              <w:rPr>
                <w:color w:val="auto"/>
                <w:kern w:val="0"/>
              </w:rPr>
              <w:t>风险</w:t>
            </w:r>
            <w:r>
              <w:rPr>
                <w:rFonts w:hint="eastAsia"/>
                <w:color w:val="auto"/>
                <w:kern w:val="0"/>
              </w:rPr>
              <w:t>源</w:t>
            </w:r>
            <w:r>
              <w:rPr>
                <w:color w:val="auto"/>
                <w:kern w:val="0"/>
              </w:rPr>
              <w:t>调查</w:t>
            </w:r>
          </w:p>
          <w:p w14:paraId="5D1A6D5F">
            <w:pPr>
              <w:adjustRightInd w:val="0"/>
              <w:snapToGrid w:val="0"/>
              <w:ind w:firstLine="480"/>
              <w:rPr>
                <w:color w:val="auto"/>
                <w:kern w:val="0"/>
              </w:rPr>
            </w:pPr>
            <w:r>
              <w:rPr>
                <w:color w:val="auto"/>
                <w:kern w:val="0"/>
              </w:rPr>
              <w:t>根据《危险化学品名录》和《危险化学品重大危险源辨识》</w:t>
            </w:r>
            <w:r>
              <w:rPr>
                <w:rFonts w:hint="eastAsia"/>
                <w:color w:val="auto"/>
                <w:kern w:val="0"/>
              </w:rPr>
              <w:t>（</w:t>
            </w:r>
            <w:r>
              <w:rPr>
                <w:color w:val="auto"/>
                <w:kern w:val="0"/>
              </w:rPr>
              <w:t>GB18218-2018</w:t>
            </w:r>
            <w:r>
              <w:rPr>
                <w:rFonts w:hint="eastAsia"/>
                <w:color w:val="auto"/>
                <w:kern w:val="0"/>
              </w:rPr>
              <w:t>）</w:t>
            </w:r>
            <w:r>
              <w:rPr>
                <w:color w:val="auto"/>
                <w:kern w:val="0"/>
              </w:rPr>
              <w:t>本项目</w:t>
            </w:r>
            <w:r>
              <w:rPr>
                <w:rFonts w:hint="eastAsia"/>
                <w:color w:val="auto"/>
                <w:kern w:val="0"/>
              </w:rPr>
              <w:t>涉及的</w:t>
            </w:r>
            <w:r>
              <w:rPr>
                <w:color w:val="auto"/>
                <w:kern w:val="0"/>
              </w:rPr>
              <w:t>危险化学品</w:t>
            </w:r>
            <w:r>
              <w:rPr>
                <w:rFonts w:hint="eastAsia"/>
                <w:color w:val="auto"/>
                <w:kern w:val="0"/>
              </w:rPr>
              <w:t>主要是柴油</w:t>
            </w:r>
            <w:r>
              <w:rPr>
                <w:color w:val="auto"/>
                <w:kern w:val="0"/>
              </w:rPr>
              <w:t>。本项目项目区内不进行柴油储存，如若需要就近购买。</w:t>
            </w:r>
          </w:p>
          <w:p w14:paraId="61A21F3C">
            <w:pPr>
              <w:adjustRightInd w:val="0"/>
              <w:snapToGrid w:val="0"/>
              <w:ind w:firstLine="480"/>
              <w:rPr>
                <w:color w:val="auto"/>
                <w:kern w:val="0"/>
              </w:rPr>
            </w:pPr>
            <w:r>
              <w:rPr>
                <w:rFonts w:hint="eastAsia"/>
                <w:color w:val="auto"/>
                <w:kern w:val="0"/>
              </w:rPr>
              <w:t>（2）</w:t>
            </w:r>
            <w:r>
              <w:rPr>
                <w:color w:val="auto"/>
                <w:kern w:val="0"/>
              </w:rPr>
              <w:t>风险识别</w:t>
            </w:r>
          </w:p>
          <w:p w14:paraId="23953098">
            <w:pPr>
              <w:adjustRightInd w:val="0"/>
              <w:snapToGrid w:val="0"/>
              <w:ind w:firstLine="480"/>
              <w:rPr>
                <w:color w:val="auto"/>
                <w:kern w:val="0"/>
              </w:rPr>
            </w:pPr>
            <w:r>
              <w:rPr>
                <w:color w:val="auto"/>
                <w:kern w:val="0"/>
              </w:rPr>
              <w:t>本项目属于</w:t>
            </w:r>
            <w:r>
              <w:rPr>
                <w:color w:val="auto"/>
              </w:rPr>
              <w:t>饮水管网及灌溉水利设施建设工程</w:t>
            </w:r>
            <w:r>
              <w:rPr>
                <w:color w:val="auto"/>
                <w:kern w:val="0"/>
              </w:rPr>
              <w:t>项目，施工期可能产生的环境风险主要为施工设备事故引起油类物质泄漏、</w:t>
            </w:r>
            <w:r>
              <w:rPr>
                <w:rFonts w:hint="eastAsia"/>
                <w:color w:val="auto"/>
                <w:kern w:val="0"/>
              </w:rPr>
              <w:t>废</w:t>
            </w:r>
            <w:r>
              <w:rPr>
                <w:color w:val="auto"/>
                <w:kern w:val="0"/>
              </w:rPr>
              <w:t>污水事故排放。</w:t>
            </w:r>
            <w:r>
              <w:rPr>
                <w:rFonts w:hint="eastAsia"/>
                <w:color w:val="auto"/>
                <w:kern w:val="0"/>
              </w:rPr>
              <w:t>同时防止外来物种入侵。</w:t>
            </w:r>
          </w:p>
          <w:p w14:paraId="2D75EAFF">
            <w:pPr>
              <w:adjustRightInd w:val="0"/>
              <w:snapToGrid w:val="0"/>
              <w:ind w:firstLine="480"/>
              <w:rPr>
                <w:color w:val="auto"/>
                <w:kern w:val="0"/>
              </w:rPr>
            </w:pPr>
            <w:r>
              <w:rPr>
                <w:rFonts w:hint="eastAsia"/>
                <w:color w:val="auto"/>
                <w:kern w:val="0"/>
              </w:rPr>
              <w:t>（3）</w:t>
            </w:r>
            <w:r>
              <w:rPr>
                <w:color w:val="auto"/>
                <w:kern w:val="0"/>
              </w:rPr>
              <w:t>风险</w:t>
            </w:r>
            <w:r>
              <w:rPr>
                <w:rFonts w:hint="eastAsia"/>
                <w:color w:val="auto"/>
                <w:kern w:val="0"/>
              </w:rPr>
              <w:t>影响分析</w:t>
            </w:r>
          </w:p>
          <w:p w14:paraId="4F5E40D4">
            <w:pPr>
              <w:adjustRightInd w:val="0"/>
              <w:snapToGrid w:val="0"/>
              <w:ind w:firstLine="480"/>
              <w:rPr>
                <w:color w:val="auto"/>
                <w:kern w:val="0"/>
              </w:rPr>
            </w:pPr>
            <w:r>
              <w:rPr>
                <w:rFonts w:hint="eastAsia"/>
                <w:color w:val="auto"/>
                <w:kern w:val="0"/>
              </w:rPr>
              <w:t>机械设备“跑、冒、滴、漏”造成</w:t>
            </w:r>
            <w:r>
              <w:rPr>
                <w:color w:val="auto"/>
                <w:kern w:val="0"/>
              </w:rPr>
              <w:t>油类物质泄漏</w:t>
            </w:r>
            <w:r>
              <w:rPr>
                <w:rFonts w:hint="eastAsia"/>
                <w:color w:val="auto"/>
                <w:kern w:val="0"/>
              </w:rPr>
              <w:t>，会污染土壤，进一步入渗后可能造成地下水的污染。</w:t>
            </w:r>
            <w:r>
              <w:rPr>
                <w:color w:val="auto"/>
                <w:kern w:val="0"/>
              </w:rPr>
              <w:t>油类物质泄漏</w:t>
            </w:r>
            <w:r>
              <w:rPr>
                <w:rFonts w:hint="eastAsia"/>
                <w:color w:val="auto"/>
                <w:kern w:val="0"/>
              </w:rPr>
              <w:t>或废</w:t>
            </w:r>
            <w:r>
              <w:rPr>
                <w:color w:val="auto"/>
                <w:kern w:val="0"/>
              </w:rPr>
              <w:t>污水事故排放</w:t>
            </w:r>
            <w:r>
              <w:rPr>
                <w:rFonts w:hint="eastAsia"/>
                <w:color w:val="auto"/>
                <w:kern w:val="0"/>
              </w:rPr>
              <w:t>，</w:t>
            </w:r>
            <w:r>
              <w:rPr>
                <w:color w:val="auto"/>
                <w:kern w:val="0"/>
              </w:rPr>
              <w:t>在雨水等冲刷作用下，油类物质流入排水沟，最终流入区域地表水体，对其造成污染</w:t>
            </w:r>
            <w:r>
              <w:rPr>
                <w:rFonts w:hint="eastAsia"/>
                <w:color w:val="auto"/>
                <w:kern w:val="0"/>
              </w:rPr>
              <w:t>。</w:t>
            </w:r>
            <w:r>
              <w:rPr>
                <w:rFonts w:hint="eastAsia"/>
                <w:bCs/>
                <w:color w:val="auto"/>
                <w:szCs w:val="21"/>
              </w:rPr>
              <w:t>采用外来植物进行植被恢复可能造成外来物种入侵。</w:t>
            </w:r>
          </w:p>
          <w:p w14:paraId="6475FF6B">
            <w:pPr>
              <w:adjustRightInd w:val="0"/>
              <w:snapToGrid w:val="0"/>
              <w:ind w:firstLine="480"/>
              <w:rPr>
                <w:color w:val="auto"/>
                <w:kern w:val="0"/>
              </w:rPr>
            </w:pPr>
            <w:r>
              <w:rPr>
                <w:rFonts w:hint="eastAsia"/>
                <w:color w:val="auto"/>
                <w:kern w:val="0"/>
              </w:rPr>
              <w:t>（4）</w:t>
            </w:r>
            <w:r>
              <w:rPr>
                <w:color w:val="auto"/>
                <w:kern w:val="0"/>
              </w:rPr>
              <w:t>风险防范措施</w:t>
            </w:r>
          </w:p>
          <w:p w14:paraId="0983C554">
            <w:pPr>
              <w:adjustRightInd w:val="0"/>
              <w:snapToGrid w:val="0"/>
              <w:ind w:firstLine="480"/>
              <w:rPr>
                <w:color w:val="auto"/>
                <w:kern w:val="0"/>
              </w:rPr>
            </w:pPr>
            <w:r>
              <w:rPr>
                <w:rFonts w:hint="eastAsia"/>
                <w:color w:val="auto"/>
                <w:kern w:val="0"/>
              </w:rPr>
              <w:t>本工程</w:t>
            </w:r>
            <w:r>
              <w:rPr>
                <w:color w:val="auto"/>
                <w:kern w:val="0"/>
              </w:rPr>
              <w:t>施工期较短，按照规定定期对设备进行检修、</w:t>
            </w:r>
            <w:r>
              <w:rPr>
                <w:rFonts w:hint="eastAsia"/>
                <w:color w:val="auto"/>
                <w:kern w:val="0"/>
              </w:rPr>
              <w:t>维护，防止“跑、冒、滴、漏”情形发生。</w:t>
            </w:r>
            <w:r>
              <w:rPr>
                <w:color w:val="auto"/>
                <w:kern w:val="0"/>
              </w:rPr>
              <w:t>施工期间加强施工管理，确保各类环保措施正常进行，同时加强施工期管理</w:t>
            </w:r>
            <w:r>
              <w:rPr>
                <w:rFonts w:hint="eastAsia"/>
                <w:color w:val="auto"/>
                <w:kern w:val="0"/>
              </w:rPr>
              <w:t>，</w:t>
            </w:r>
            <w:r>
              <w:rPr>
                <w:color w:val="auto"/>
                <w:kern w:val="0"/>
              </w:rPr>
              <w:t>杜绝出现废水事故性排放。</w:t>
            </w:r>
            <w:r>
              <w:rPr>
                <w:rFonts w:hint="eastAsia"/>
                <w:color w:val="auto"/>
                <w:kern w:val="0"/>
              </w:rPr>
              <w:t>环境风</w:t>
            </w:r>
            <w:r>
              <w:rPr>
                <w:color w:val="auto"/>
                <w:kern w:val="0"/>
              </w:rPr>
              <w:t>险水平</w:t>
            </w:r>
            <w:r>
              <w:rPr>
                <w:rFonts w:hint="eastAsia"/>
                <w:color w:val="auto"/>
                <w:kern w:val="0"/>
              </w:rPr>
              <w:t>可降低到</w:t>
            </w:r>
            <w:r>
              <w:rPr>
                <w:color w:val="auto"/>
                <w:kern w:val="0"/>
              </w:rPr>
              <w:t>可接受</w:t>
            </w:r>
            <w:r>
              <w:rPr>
                <w:rFonts w:hint="eastAsia"/>
                <w:color w:val="auto"/>
                <w:kern w:val="0"/>
              </w:rPr>
              <w:t>水平。使用本地物种进行植被恢复可防止外来物种入侵。</w:t>
            </w:r>
          </w:p>
          <w:p w14:paraId="2447C7BE">
            <w:pPr>
              <w:adjustRightInd w:val="0"/>
              <w:snapToGrid w:val="0"/>
              <w:ind w:firstLine="480"/>
              <w:rPr>
                <w:color w:val="auto"/>
                <w:kern w:val="0"/>
              </w:rPr>
            </w:pPr>
            <w:r>
              <w:rPr>
                <w:color w:val="auto"/>
                <w:kern w:val="0"/>
              </w:rPr>
              <w:t>（</w:t>
            </w:r>
            <w:r>
              <w:rPr>
                <w:rFonts w:hint="eastAsia"/>
                <w:color w:val="auto"/>
                <w:kern w:val="0"/>
              </w:rPr>
              <w:t>5</w:t>
            </w:r>
            <w:r>
              <w:rPr>
                <w:color w:val="auto"/>
                <w:kern w:val="0"/>
              </w:rPr>
              <w:t>）风险结论</w:t>
            </w:r>
          </w:p>
          <w:p w14:paraId="70C6843C">
            <w:pPr>
              <w:adjustRightInd w:val="0"/>
              <w:snapToGrid w:val="0"/>
              <w:ind w:firstLine="480"/>
              <w:rPr>
                <w:color w:val="auto"/>
                <w:kern w:val="0"/>
              </w:rPr>
            </w:pPr>
            <w:r>
              <w:rPr>
                <w:color w:val="auto"/>
                <w:kern w:val="0"/>
              </w:rPr>
              <w:t>经分析，在采取相应防范措施的基础上可将风险事故造成的危害降至最低。从环境风险角度分析，本项目实施可行。</w:t>
            </w:r>
          </w:p>
          <w:p w14:paraId="51C30499">
            <w:pPr>
              <w:ind w:firstLine="480"/>
              <w:rPr>
                <w:color w:val="auto"/>
                <w:kern w:val="0"/>
              </w:rPr>
            </w:pPr>
          </w:p>
        </w:tc>
      </w:tr>
      <w:tr w14:paraId="32170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753" w:type="dxa"/>
            <w:tcMar>
              <w:left w:w="28" w:type="dxa"/>
              <w:right w:w="28" w:type="dxa"/>
            </w:tcMar>
            <w:vAlign w:val="center"/>
          </w:tcPr>
          <w:p w14:paraId="71814FD5">
            <w:pPr>
              <w:adjustRightInd w:val="0"/>
              <w:snapToGrid w:val="0"/>
              <w:ind w:firstLine="0" w:firstLineChars="0"/>
              <w:rPr>
                <w:color w:val="auto"/>
                <w:kern w:val="0"/>
              </w:rPr>
            </w:pPr>
            <w:r>
              <w:rPr>
                <w:color w:val="auto"/>
                <w:kern w:val="0"/>
              </w:rPr>
              <w:t>运营期生态环境保护措施</w:t>
            </w:r>
          </w:p>
        </w:tc>
        <w:tc>
          <w:tcPr>
            <w:tcW w:w="8457" w:type="dxa"/>
          </w:tcPr>
          <w:p w14:paraId="08E0858F">
            <w:pPr>
              <w:adjustRightInd w:val="0"/>
              <w:snapToGrid w:val="0"/>
              <w:ind w:firstLine="480"/>
              <w:rPr>
                <w:color w:val="auto"/>
                <w:kern w:val="0"/>
              </w:rPr>
            </w:pPr>
            <w:r>
              <w:rPr>
                <w:color w:val="auto"/>
                <w:kern w:val="0"/>
              </w:rPr>
              <w:t>1、污染治理措施</w:t>
            </w:r>
          </w:p>
          <w:p w14:paraId="28707713">
            <w:pPr>
              <w:adjustRightInd w:val="0"/>
              <w:snapToGrid w:val="0"/>
              <w:ind w:firstLine="480"/>
              <w:rPr>
                <w:color w:val="auto"/>
              </w:rPr>
            </w:pPr>
            <w:r>
              <w:rPr>
                <w:color w:val="auto"/>
                <w:kern w:val="0"/>
              </w:rPr>
              <w:t>本项目属于</w:t>
            </w:r>
            <w:r>
              <w:rPr>
                <w:color w:val="auto"/>
              </w:rPr>
              <w:t>饮水管网及灌溉水利设施建设</w:t>
            </w:r>
            <w:r>
              <w:rPr>
                <w:color w:val="auto"/>
                <w:kern w:val="0"/>
              </w:rPr>
              <w:t>工程，项目</w:t>
            </w:r>
            <w:r>
              <w:rPr>
                <w:rFonts w:hint="eastAsia"/>
                <w:color w:val="auto"/>
                <w:kern w:val="0"/>
              </w:rPr>
              <w:t>建成</w:t>
            </w:r>
            <w:r>
              <w:rPr>
                <w:color w:val="auto"/>
                <w:kern w:val="0"/>
              </w:rPr>
              <w:t>后，项目本身不会产生排放对周围地表水、</w:t>
            </w:r>
            <w:r>
              <w:rPr>
                <w:rFonts w:hint="eastAsia"/>
                <w:color w:val="auto"/>
                <w:kern w:val="0"/>
              </w:rPr>
              <w:t>环境空气等</w:t>
            </w:r>
            <w:r>
              <w:rPr>
                <w:color w:val="auto"/>
                <w:kern w:val="0"/>
              </w:rPr>
              <w:t>造成影响的污染物。</w:t>
            </w:r>
            <w:r>
              <w:rPr>
                <w:rFonts w:hint="eastAsia"/>
                <w:color w:val="auto"/>
                <w:kern w:val="0"/>
              </w:rPr>
              <w:t>泵站等机械运行噪声，在采取室内布置等措施后可满足</w:t>
            </w:r>
            <w:r>
              <w:rPr>
                <w:color w:val="auto"/>
              </w:rPr>
              <w:t>《工业企业厂界环境噪声排放标准》（GB12348-2008）中</w:t>
            </w:r>
            <w:r>
              <w:rPr>
                <w:rFonts w:hint="eastAsia"/>
                <w:color w:val="auto"/>
              </w:rPr>
              <w:t>2</w:t>
            </w:r>
            <w:r>
              <w:rPr>
                <w:color w:val="auto"/>
              </w:rPr>
              <w:t>类标准</w:t>
            </w:r>
            <w:r>
              <w:rPr>
                <w:rFonts w:hint="eastAsia"/>
                <w:color w:val="auto"/>
              </w:rPr>
              <w:t>要求。</w:t>
            </w:r>
          </w:p>
          <w:p w14:paraId="13AE9DDD">
            <w:pPr>
              <w:adjustRightInd w:val="0"/>
              <w:snapToGrid w:val="0"/>
              <w:ind w:firstLine="480"/>
              <w:rPr>
                <w:rFonts w:hint="eastAsia" w:eastAsia="宋体"/>
                <w:color w:val="auto"/>
                <w:kern w:val="0"/>
                <w:lang w:val="en-US" w:eastAsia="zh-CN"/>
              </w:rPr>
            </w:pPr>
            <w:r>
              <w:rPr>
                <w:rFonts w:hint="eastAsia"/>
                <w:color w:val="auto"/>
              </w:rPr>
              <w:t>王家河二级加压泵站清水池采用二氧化氯消毒，运营期定期清淤，污泥采用人工清淤后用吸污车抽运至污水处理厂处置。</w:t>
            </w:r>
          </w:p>
          <w:p w14:paraId="49130BBB">
            <w:pPr>
              <w:adjustRightInd w:val="0"/>
              <w:snapToGrid w:val="0"/>
              <w:ind w:firstLine="480"/>
              <w:rPr>
                <w:color w:val="auto"/>
              </w:rPr>
            </w:pPr>
            <w:r>
              <w:rPr>
                <w:rFonts w:hint="eastAsia"/>
                <w:color w:val="auto"/>
                <w:kern w:val="0"/>
              </w:rPr>
              <w:t>2、为保障供水水质，</w:t>
            </w:r>
            <w:r>
              <w:rPr>
                <w:rFonts w:hint="eastAsia"/>
                <w:color w:val="auto"/>
              </w:rPr>
              <w:t>流里河水库、澌溪沟水库已划定为饮用水水源地，后续运行期间严格按照</w:t>
            </w:r>
            <w:r>
              <w:rPr>
                <w:color w:val="auto"/>
              </w:rPr>
              <w:t>《四川省饮用水水源保护管理条例》</w:t>
            </w:r>
            <w:r>
              <w:rPr>
                <w:rFonts w:hint="eastAsia"/>
                <w:color w:val="auto"/>
              </w:rPr>
              <w:t>、</w:t>
            </w:r>
            <w:r>
              <w:rPr>
                <w:color w:val="auto"/>
              </w:rPr>
              <w:t>《四川省饮用水水源保护区管理规定（试行）》</w:t>
            </w:r>
            <w:r>
              <w:rPr>
                <w:rFonts w:hint="eastAsia"/>
                <w:color w:val="auto"/>
              </w:rPr>
              <w:t>等文件要求严格保护水源水质。暂未划为饮用水水源地的王家河水库按相关要求申请划定为饮用水水源地，由巴中市</w:t>
            </w:r>
            <w:r>
              <w:rPr>
                <w:color w:val="auto"/>
              </w:rPr>
              <w:t>人民政府应当对饮用水水源保护区划定方案开展合法性审查</w:t>
            </w:r>
            <w:r>
              <w:rPr>
                <w:rFonts w:hint="eastAsia"/>
                <w:color w:val="auto"/>
              </w:rPr>
              <w:t>，并</w:t>
            </w:r>
            <w:r>
              <w:rPr>
                <w:color w:val="auto"/>
              </w:rPr>
              <w:t>向省人民政府提出申请</w:t>
            </w:r>
            <w:r>
              <w:rPr>
                <w:rFonts w:hint="eastAsia"/>
                <w:color w:val="auto"/>
              </w:rPr>
              <w:t>。</w:t>
            </w:r>
          </w:p>
          <w:p w14:paraId="1E1DB1DD">
            <w:pPr>
              <w:adjustRightInd w:val="0"/>
              <w:snapToGrid w:val="0"/>
              <w:ind w:firstLine="480"/>
              <w:rPr>
                <w:color w:val="auto"/>
              </w:rPr>
            </w:pPr>
            <w:r>
              <w:rPr>
                <w:rFonts w:hint="eastAsia"/>
                <w:color w:val="auto"/>
              </w:rPr>
              <w:t>3、</w:t>
            </w:r>
            <w:r>
              <w:rPr>
                <w:color w:val="auto"/>
              </w:rPr>
              <w:t>坝下河段生态流量及水环境保护措施</w:t>
            </w:r>
          </w:p>
          <w:p w14:paraId="5454B9B7">
            <w:pPr>
              <w:adjustRightInd w:val="0"/>
              <w:snapToGrid w:val="0"/>
              <w:ind w:firstLine="480"/>
              <w:rPr>
                <w:color w:val="auto"/>
                <w:kern w:val="0"/>
              </w:rPr>
            </w:pPr>
            <w:r>
              <w:rPr>
                <w:color w:val="auto"/>
                <w:kern w:val="0"/>
              </w:rPr>
              <w:t>针对流里河、澌溪沟和王家河水库目前未设置专用生态流量泄放设施的现状，建议充分利用现有灌溉放水设施和坝下灌渠进行适应性改造</w:t>
            </w:r>
            <w:r>
              <w:rPr>
                <w:rFonts w:hint="eastAsia"/>
                <w:color w:val="auto"/>
                <w:kern w:val="0"/>
              </w:rPr>
              <w:t>。详见水环境影响专题。</w:t>
            </w:r>
          </w:p>
          <w:p w14:paraId="39D30976">
            <w:pPr>
              <w:adjustRightInd w:val="0"/>
              <w:snapToGrid w:val="0"/>
              <w:ind w:firstLine="480"/>
              <w:rPr>
                <w:color w:val="auto"/>
                <w:kern w:val="0"/>
              </w:rPr>
            </w:pPr>
            <w:r>
              <w:rPr>
                <w:rFonts w:hint="eastAsia"/>
                <w:color w:val="auto"/>
                <w:kern w:val="0"/>
              </w:rPr>
              <w:t>4、</w:t>
            </w:r>
            <w:r>
              <w:rPr>
                <w:color w:val="auto"/>
                <w:kern w:val="0"/>
              </w:rPr>
              <w:t>受水区及灌溉退水污染防治措施</w:t>
            </w:r>
          </w:p>
          <w:p w14:paraId="4FF982AD">
            <w:pPr>
              <w:adjustRightInd w:val="0"/>
              <w:snapToGrid w:val="0"/>
              <w:ind w:firstLine="480"/>
              <w:rPr>
                <w:color w:val="auto"/>
                <w:kern w:val="0"/>
              </w:rPr>
            </w:pPr>
            <w:r>
              <w:rPr>
                <w:color w:val="auto"/>
                <w:kern w:val="0"/>
              </w:rPr>
              <w:t>受水区及灌溉退水污染防治措施</w:t>
            </w:r>
            <w:r>
              <w:rPr>
                <w:rFonts w:hint="eastAsia"/>
                <w:color w:val="auto"/>
                <w:kern w:val="0"/>
              </w:rPr>
              <w:t>主要包括</w:t>
            </w:r>
            <w:r>
              <w:rPr>
                <w:rFonts w:hint="eastAsia"/>
                <w:color w:val="auto"/>
              </w:rPr>
              <w:t>城镇和农村生活污水治理、禽畜养殖污染防治措施，</w:t>
            </w:r>
            <w:r>
              <w:rPr>
                <w:rFonts w:hint="eastAsia"/>
                <w:color w:val="auto"/>
                <w:kern w:val="0"/>
              </w:rPr>
              <w:t>详见水环境影响专题。</w:t>
            </w:r>
          </w:p>
        </w:tc>
      </w:tr>
      <w:tr w14:paraId="7CA87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53" w:type="dxa"/>
            <w:vAlign w:val="center"/>
          </w:tcPr>
          <w:p w14:paraId="39429D6F">
            <w:pPr>
              <w:adjustRightInd w:val="0"/>
              <w:snapToGrid w:val="0"/>
              <w:ind w:firstLine="0" w:firstLineChars="0"/>
              <w:rPr>
                <w:color w:val="auto"/>
                <w:kern w:val="0"/>
              </w:rPr>
            </w:pPr>
            <w:r>
              <w:rPr>
                <w:color w:val="auto"/>
                <w:kern w:val="0"/>
              </w:rPr>
              <w:t>其他</w:t>
            </w:r>
          </w:p>
        </w:tc>
        <w:tc>
          <w:tcPr>
            <w:tcW w:w="8457" w:type="dxa"/>
          </w:tcPr>
          <w:p w14:paraId="3CE2BB93">
            <w:pPr>
              <w:ind w:firstLine="482"/>
              <w:rPr>
                <w:b/>
                <w:bCs/>
                <w:color w:val="auto"/>
              </w:rPr>
            </w:pPr>
            <w:r>
              <w:rPr>
                <w:rFonts w:hint="eastAsia"/>
                <w:b/>
                <w:bCs/>
                <w:color w:val="auto"/>
              </w:rPr>
              <w:t>一</w:t>
            </w:r>
            <w:r>
              <w:rPr>
                <w:b/>
                <w:bCs/>
                <w:color w:val="auto"/>
              </w:rPr>
              <w:t>、环境管理</w:t>
            </w:r>
          </w:p>
          <w:p w14:paraId="1697FA47">
            <w:pPr>
              <w:adjustRightInd w:val="0"/>
              <w:snapToGrid w:val="0"/>
              <w:ind w:firstLine="480"/>
              <w:rPr>
                <w:color w:val="auto"/>
                <w:szCs w:val="21"/>
              </w:rPr>
            </w:pPr>
            <w:r>
              <w:rPr>
                <w:bCs/>
                <w:color w:val="auto"/>
                <w:szCs w:val="21"/>
              </w:rPr>
              <w:t>本项目建设将会对工程所在地自然环境造成一定的影响</w:t>
            </w:r>
            <w:r>
              <w:rPr>
                <w:b/>
                <w:bCs/>
                <w:color w:val="auto"/>
                <w:szCs w:val="21"/>
              </w:rPr>
              <w:t>，</w:t>
            </w:r>
            <w:r>
              <w:rPr>
                <w:bCs/>
                <w:color w:val="auto"/>
                <w:szCs w:val="21"/>
              </w:rPr>
              <w:t>建设单位应在其管理机构内配备必要的环境保护专职或兼职人员，负责环境保护管理工作。</w:t>
            </w:r>
            <w:r>
              <w:rPr>
                <w:rFonts w:hint="eastAsia"/>
                <w:color w:val="auto"/>
                <w:szCs w:val="21"/>
              </w:rPr>
              <w:t>本项目初步设计、施工图等设计文件中需包含相关的环境保护内容，编制环境保护篇章、开展环境保护专项设计，落实防治环境污染和生态破坏的措施、设施及相应资金。设计文件中应详细说明施工期应注意的环保问题，如野生动植物保护、植被恢复、施工范围控制和临时占地生态恢复等情况，要求施工单位严格按设计文件和施工方案施工，落实生态环境保护的措施。环评报告中提出的要求需在相应设备及材料的采购文件中落实，保证最终采购的设施及材料符合环保要求。此外，建设单位负责环境管理工作人员必须在项目设计、施工、竣工验收整个过程中严格执行环保“三同时”制度，在设计、施工和设备采购文件中落实环境保护相关内容及要求。</w:t>
            </w:r>
          </w:p>
          <w:p w14:paraId="0F6B0C85">
            <w:pPr>
              <w:adjustRightInd w:val="0"/>
              <w:snapToGrid w:val="0"/>
              <w:ind w:firstLine="482"/>
              <w:rPr>
                <w:b/>
                <w:color w:val="auto"/>
                <w:szCs w:val="21"/>
              </w:rPr>
            </w:pPr>
            <w:r>
              <w:rPr>
                <w:b/>
                <w:color w:val="auto"/>
                <w:szCs w:val="21"/>
              </w:rPr>
              <w:t>（1）施工期环境管理</w:t>
            </w:r>
          </w:p>
          <w:p w14:paraId="18CBFDB8">
            <w:pPr>
              <w:adjustRightInd w:val="0"/>
              <w:snapToGrid w:val="0"/>
              <w:ind w:firstLine="480"/>
              <w:rPr>
                <w:bCs/>
                <w:color w:val="auto"/>
                <w:szCs w:val="21"/>
              </w:rPr>
            </w:pPr>
            <w:r>
              <w:rPr>
                <w:bCs/>
                <w:color w:val="auto"/>
                <w:szCs w:val="21"/>
              </w:rPr>
              <w:t>施工招标中应对投标单位提出施工期间的环保要求，并应要求监理单位做好施工期环境监理工作。施工单位</w:t>
            </w:r>
            <w:r>
              <w:rPr>
                <w:rFonts w:hint="eastAsia"/>
                <w:bCs/>
                <w:color w:val="auto"/>
                <w:szCs w:val="21"/>
              </w:rPr>
              <w:t>应严格</w:t>
            </w:r>
            <w:r>
              <w:rPr>
                <w:bCs/>
                <w:color w:val="auto"/>
                <w:szCs w:val="21"/>
              </w:rPr>
              <w:t>按设计文件</w:t>
            </w:r>
            <w:r>
              <w:rPr>
                <w:rFonts w:hint="eastAsia"/>
                <w:bCs/>
                <w:color w:val="auto"/>
                <w:szCs w:val="21"/>
              </w:rPr>
              <w:t>和施工方案</w:t>
            </w:r>
            <w:r>
              <w:rPr>
                <w:bCs/>
                <w:color w:val="auto"/>
                <w:szCs w:val="21"/>
              </w:rPr>
              <w:t>施工，</w:t>
            </w:r>
            <w:r>
              <w:rPr>
                <w:rFonts w:hint="eastAsia"/>
                <w:bCs/>
                <w:color w:val="auto"/>
                <w:szCs w:val="21"/>
              </w:rPr>
              <w:t>落实生态环境保护的措施及要求</w:t>
            </w:r>
            <w:r>
              <w:rPr>
                <w:bCs/>
                <w:color w:val="auto"/>
                <w:szCs w:val="21"/>
              </w:rPr>
              <w:t>。</w:t>
            </w:r>
            <w:r>
              <w:rPr>
                <w:rFonts w:hint="eastAsia"/>
                <w:bCs/>
                <w:color w:val="auto"/>
                <w:szCs w:val="21"/>
              </w:rPr>
              <w:t>环境监理单位需落实监理人员及设施设备配备等。</w:t>
            </w:r>
            <w:r>
              <w:rPr>
                <w:bCs/>
                <w:color w:val="auto"/>
                <w:szCs w:val="21"/>
              </w:rPr>
              <w:t>环境监理人员对施工中的</w:t>
            </w:r>
            <w:r>
              <w:rPr>
                <w:rFonts w:hint="eastAsia"/>
                <w:bCs/>
                <w:color w:val="auto"/>
                <w:szCs w:val="21"/>
              </w:rPr>
              <w:t>所有</w:t>
            </w:r>
            <w:r>
              <w:rPr>
                <w:bCs/>
                <w:color w:val="auto"/>
                <w:szCs w:val="21"/>
              </w:rPr>
              <w:t>工序都应严格检查是否满足要求，并不定期地对施工点进行监督、抽查、检查</w:t>
            </w:r>
            <w:r>
              <w:rPr>
                <w:rFonts w:hint="eastAsia"/>
                <w:bCs/>
                <w:color w:val="auto"/>
                <w:szCs w:val="21"/>
              </w:rPr>
              <w:t>，核实工程设计文件与环境影响评价文件及批复文件相符性，对工程施工过程中各项环境保护措施的落实情况进行监督，</w:t>
            </w:r>
            <w:r>
              <w:rPr>
                <w:bCs/>
                <w:color w:val="auto"/>
                <w:szCs w:val="21"/>
              </w:rPr>
              <w:t>施工前对施工人员和监理人员进行生态保护教育，应加强对施工人员进行</w:t>
            </w:r>
            <w:r>
              <w:rPr>
                <w:rFonts w:hint="eastAsia"/>
                <w:bCs/>
                <w:color w:val="auto"/>
                <w:szCs w:val="21"/>
              </w:rPr>
              <w:t>《中华人民共和国生态环境法典》</w:t>
            </w:r>
            <w:r>
              <w:rPr>
                <w:bCs/>
                <w:color w:val="auto"/>
                <w:szCs w:val="21"/>
              </w:rPr>
              <w:t>等法律法规，规范施工队伍行为和施工现场管理</w:t>
            </w:r>
            <w:r>
              <w:rPr>
                <w:rFonts w:hint="eastAsia"/>
                <w:bCs/>
                <w:color w:val="auto"/>
                <w:szCs w:val="21"/>
              </w:rPr>
              <w:t>，为施工单位落实施工期各项环境保护措施提供技术指导</w:t>
            </w:r>
            <w:r>
              <w:rPr>
                <w:bCs/>
                <w:color w:val="auto"/>
                <w:szCs w:val="21"/>
              </w:rPr>
              <w:t>。施工期环境监理、环境管理的职责和任务包括：</w:t>
            </w:r>
          </w:p>
          <w:p w14:paraId="64D1468C">
            <w:pPr>
              <w:adjustRightInd w:val="0"/>
              <w:snapToGrid w:val="0"/>
              <w:ind w:firstLine="480"/>
              <w:rPr>
                <w:bCs/>
                <w:color w:val="auto"/>
                <w:szCs w:val="21"/>
              </w:rPr>
            </w:pPr>
            <w:r>
              <w:rPr>
                <w:bCs/>
                <w:color w:val="auto"/>
                <w:szCs w:val="21"/>
              </w:rPr>
              <w:t>1）贯彻执行国家的各项环境保护方针、政策、法规</w:t>
            </w:r>
            <w:r>
              <w:rPr>
                <w:rFonts w:hint="eastAsia"/>
                <w:bCs/>
                <w:color w:val="auto"/>
                <w:szCs w:val="21"/>
              </w:rPr>
              <w:t>，配合生态环境主管部门的现场监督检查</w:t>
            </w:r>
            <w:r>
              <w:rPr>
                <w:bCs/>
                <w:color w:val="auto"/>
                <w:szCs w:val="21"/>
              </w:rPr>
              <w:t>。</w:t>
            </w:r>
          </w:p>
          <w:p w14:paraId="4B8C465F">
            <w:pPr>
              <w:adjustRightInd w:val="0"/>
              <w:snapToGrid w:val="0"/>
              <w:ind w:firstLine="480"/>
              <w:rPr>
                <w:bCs/>
                <w:color w:val="auto"/>
                <w:szCs w:val="21"/>
              </w:rPr>
            </w:pPr>
            <w:r>
              <w:rPr>
                <w:bCs/>
                <w:color w:val="auto"/>
                <w:szCs w:val="21"/>
              </w:rPr>
              <w:t>2）制定本项目施工中的环境保护计划</w:t>
            </w:r>
            <w:r>
              <w:rPr>
                <w:rFonts w:hint="eastAsia"/>
                <w:bCs/>
                <w:color w:val="auto"/>
                <w:szCs w:val="21"/>
              </w:rPr>
              <w:t>和施工期生态监测计划</w:t>
            </w:r>
            <w:r>
              <w:rPr>
                <w:bCs/>
                <w:color w:val="auto"/>
                <w:szCs w:val="21"/>
              </w:rPr>
              <w:t>，负责工程施工过程中各项环境保护措施</w:t>
            </w:r>
            <w:r>
              <w:rPr>
                <w:rFonts w:hint="eastAsia"/>
                <w:bCs/>
                <w:color w:val="auto"/>
                <w:szCs w:val="21"/>
              </w:rPr>
              <w:t>、环境监测计划的</w:t>
            </w:r>
            <w:r>
              <w:rPr>
                <w:bCs/>
                <w:color w:val="auto"/>
                <w:szCs w:val="21"/>
              </w:rPr>
              <w:t>实施</w:t>
            </w:r>
            <w:r>
              <w:rPr>
                <w:rFonts w:hint="eastAsia"/>
                <w:bCs/>
                <w:color w:val="auto"/>
                <w:szCs w:val="21"/>
              </w:rPr>
              <w:t>、</w:t>
            </w:r>
            <w:r>
              <w:rPr>
                <w:bCs/>
                <w:color w:val="auto"/>
                <w:szCs w:val="21"/>
              </w:rPr>
              <w:t>监督和日常管理。</w:t>
            </w:r>
          </w:p>
          <w:p w14:paraId="5F74785C">
            <w:pPr>
              <w:adjustRightInd w:val="0"/>
              <w:snapToGrid w:val="0"/>
              <w:ind w:firstLine="480"/>
              <w:rPr>
                <w:bCs/>
                <w:color w:val="auto"/>
                <w:szCs w:val="21"/>
              </w:rPr>
            </w:pPr>
            <w:r>
              <w:rPr>
                <w:bCs/>
                <w:color w:val="auto"/>
                <w:szCs w:val="21"/>
              </w:rPr>
              <w:t>3）进行</w:t>
            </w:r>
            <w:r>
              <w:rPr>
                <w:rFonts w:hint="eastAsia"/>
                <w:bCs/>
                <w:color w:val="auto"/>
                <w:szCs w:val="21"/>
              </w:rPr>
              <w:t>环境保护技术和政策方面的培训与宣传，</w:t>
            </w:r>
            <w:r>
              <w:rPr>
                <w:bCs/>
                <w:color w:val="auto"/>
                <w:szCs w:val="21"/>
              </w:rPr>
              <w:t>提高文明施工的认识。</w:t>
            </w:r>
          </w:p>
          <w:p w14:paraId="123A5710">
            <w:pPr>
              <w:adjustRightInd w:val="0"/>
              <w:snapToGrid w:val="0"/>
              <w:ind w:firstLine="480"/>
              <w:rPr>
                <w:bCs/>
                <w:color w:val="auto"/>
                <w:szCs w:val="21"/>
              </w:rPr>
            </w:pPr>
            <w:r>
              <w:rPr>
                <w:bCs/>
                <w:color w:val="auto"/>
                <w:szCs w:val="21"/>
              </w:rPr>
              <w:t>4）掌握</w:t>
            </w:r>
            <w:r>
              <w:rPr>
                <w:rFonts w:hint="eastAsia"/>
                <w:bCs/>
                <w:color w:val="auto"/>
                <w:szCs w:val="21"/>
              </w:rPr>
              <w:t>项目涉及</w:t>
            </w:r>
            <w:r>
              <w:rPr>
                <w:bCs/>
                <w:color w:val="auto"/>
                <w:szCs w:val="21"/>
              </w:rPr>
              <w:t>环境保护目标情况。</w:t>
            </w:r>
          </w:p>
          <w:p w14:paraId="632ABB08">
            <w:pPr>
              <w:adjustRightInd w:val="0"/>
              <w:snapToGrid w:val="0"/>
              <w:ind w:firstLine="480"/>
              <w:rPr>
                <w:bCs/>
                <w:color w:val="auto"/>
                <w:szCs w:val="21"/>
              </w:rPr>
            </w:pPr>
            <w:r>
              <w:rPr>
                <w:bCs/>
                <w:color w:val="auto"/>
                <w:szCs w:val="21"/>
              </w:rPr>
              <w:t>5）注意对野生动植物的保护。</w:t>
            </w:r>
          </w:p>
          <w:p w14:paraId="795600EA">
            <w:pPr>
              <w:adjustRightInd w:val="0"/>
              <w:snapToGrid w:val="0"/>
              <w:ind w:firstLine="480"/>
              <w:rPr>
                <w:bCs/>
                <w:color w:val="auto"/>
                <w:szCs w:val="21"/>
              </w:rPr>
            </w:pPr>
            <w:r>
              <w:rPr>
                <w:bCs/>
                <w:color w:val="auto"/>
                <w:szCs w:val="21"/>
              </w:rPr>
              <w:t>6）在施工计划中应</w:t>
            </w:r>
            <w:r>
              <w:rPr>
                <w:rFonts w:hint="eastAsia"/>
                <w:bCs/>
                <w:color w:val="auto"/>
                <w:szCs w:val="21"/>
              </w:rPr>
              <w:t>规划</w:t>
            </w:r>
            <w:r>
              <w:rPr>
                <w:bCs/>
                <w:color w:val="auto"/>
                <w:szCs w:val="21"/>
              </w:rPr>
              <w:t>设备</w:t>
            </w:r>
            <w:r>
              <w:rPr>
                <w:rFonts w:hint="eastAsia"/>
                <w:bCs/>
                <w:color w:val="auto"/>
                <w:szCs w:val="21"/>
              </w:rPr>
              <w:t>和材料</w:t>
            </w:r>
            <w:r>
              <w:rPr>
                <w:bCs/>
                <w:color w:val="auto"/>
                <w:szCs w:val="21"/>
              </w:rPr>
              <w:t>运输道路，以避免影响当地居民生活，施工中应考虑保护生态和避免水土流失，合理组织施工以减少占用临时施工用地。</w:t>
            </w:r>
          </w:p>
          <w:p w14:paraId="736DF722">
            <w:pPr>
              <w:adjustRightInd w:val="0"/>
              <w:snapToGrid w:val="0"/>
              <w:ind w:firstLine="480"/>
              <w:rPr>
                <w:bCs/>
                <w:color w:val="auto"/>
                <w:szCs w:val="21"/>
              </w:rPr>
            </w:pPr>
            <w:r>
              <w:rPr>
                <w:bCs/>
                <w:color w:val="auto"/>
                <w:szCs w:val="21"/>
              </w:rPr>
              <w:t>7）做好施工中各种环境问题的收集、记录、建档和处理工作。</w:t>
            </w:r>
          </w:p>
          <w:p w14:paraId="5CAEC35E">
            <w:pPr>
              <w:adjustRightInd w:val="0"/>
              <w:snapToGrid w:val="0"/>
              <w:ind w:firstLine="480"/>
              <w:rPr>
                <w:bCs/>
                <w:color w:val="auto"/>
                <w:szCs w:val="21"/>
              </w:rPr>
            </w:pPr>
            <w:r>
              <w:rPr>
                <w:rFonts w:hint="eastAsia"/>
                <w:bCs/>
                <w:color w:val="auto"/>
                <w:szCs w:val="21"/>
              </w:rPr>
              <w:t>8</w:t>
            </w:r>
            <w:r>
              <w:rPr>
                <w:bCs/>
                <w:color w:val="auto"/>
                <w:szCs w:val="21"/>
              </w:rPr>
              <w:t>）监督施工单位，确保施工完成后</w:t>
            </w:r>
            <w:r>
              <w:rPr>
                <w:rFonts w:hint="eastAsia"/>
                <w:bCs/>
                <w:color w:val="auto"/>
                <w:szCs w:val="21"/>
              </w:rPr>
              <w:t>临时占地</w:t>
            </w:r>
            <w:r>
              <w:rPr>
                <w:bCs/>
                <w:color w:val="auto"/>
                <w:szCs w:val="21"/>
              </w:rPr>
              <w:t>恢复，环保设施、水保设施等</w:t>
            </w:r>
            <w:r>
              <w:rPr>
                <w:rFonts w:hint="eastAsia"/>
                <w:bCs/>
                <w:color w:val="auto"/>
                <w:szCs w:val="21"/>
              </w:rPr>
              <w:t>与主体工程同时投运</w:t>
            </w:r>
            <w:r>
              <w:rPr>
                <w:bCs/>
                <w:color w:val="auto"/>
                <w:szCs w:val="21"/>
              </w:rPr>
              <w:t>。</w:t>
            </w:r>
          </w:p>
          <w:p w14:paraId="32458456">
            <w:pPr>
              <w:ind w:firstLine="480"/>
              <w:rPr>
                <w:color w:val="auto"/>
              </w:rPr>
            </w:pPr>
            <w:r>
              <w:rPr>
                <w:rFonts w:hint="eastAsia"/>
                <w:bCs/>
                <w:color w:val="auto"/>
                <w:szCs w:val="21"/>
              </w:rPr>
              <w:t>9</w:t>
            </w:r>
            <w:r>
              <w:rPr>
                <w:bCs/>
                <w:color w:val="auto"/>
                <w:szCs w:val="21"/>
              </w:rPr>
              <w:t>）工程竣工后，组织进行竣工环境保护验收。根据《建设项目环境保护管理条例》《建设项目竣工环境保护验收暂行办法》等相关法规、规范要求，本建设项目正式投产运行前，建设单位需组织自验收。验收的主要内容为项目对污染治理设施</w:t>
            </w:r>
            <w:r>
              <w:rPr>
                <w:rFonts w:hint="eastAsia"/>
                <w:bCs/>
                <w:color w:val="auto"/>
                <w:szCs w:val="21"/>
              </w:rPr>
              <w:t>、生态环境保护措施</w:t>
            </w:r>
            <w:r>
              <w:rPr>
                <w:bCs/>
                <w:color w:val="auto"/>
                <w:szCs w:val="21"/>
              </w:rPr>
              <w:t>与主体工程同时设计、同时施工、同时投产使用的</w:t>
            </w:r>
            <w:r>
              <w:rPr>
                <w:rFonts w:hint="eastAsia"/>
                <w:bCs/>
                <w:color w:val="auto"/>
                <w:szCs w:val="21"/>
              </w:rPr>
              <w:t>“</w:t>
            </w:r>
            <w:r>
              <w:rPr>
                <w:bCs/>
                <w:color w:val="auto"/>
                <w:szCs w:val="21"/>
              </w:rPr>
              <w:t>三同时</w:t>
            </w:r>
            <w:r>
              <w:rPr>
                <w:rFonts w:hint="eastAsia"/>
                <w:bCs/>
                <w:color w:val="auto"/>
                <w:szCs w:val="21"/>
              </w:rPr>
              <w:t>”</w:t>
            </w:r>
            <w:r>
              <w:rPr>
                <w:bCs/>
                <w:color w:val="auto"/>
                <w:szCs w:val="21"/>
              </w:rPr>
              <w:t>制度的落实情况</w:t>
            </w:r>
            <w:r>
              <w:rPr>
                <w:rFonts w:hint="eastAsia"/>
                <w:bCs/>
                <w:color w:val="auto"/>
                <w:szCs w:val="21"/>
              </w:rPr>
              <w:t>。</w:t>
            </w:r>
          </w:p>
          <w:p w14:paraId="18632937">
            <w:pPr>
              <w:adjustRightInd w:val="0"/>
              <w:snapToGrid w:val="0"/>
              <w:ind w:firstLine="482"/>
              <w:rPr>
                <w:b/>
                <w:color w:val="auto"/>
                <w:szCs w:val="21"/>
              </w:rPr>
            </w:pPr>
            <w:r>
              <w:rPr>
                <w:b/>
                <w:color w:val="auto"/>
                <w:szCs w:val="21"/>
              </w:rPr>
              <w:t>（</w:t>
            </w:r>
            <w:r>
              <w:rPr>
                <w:rFonts w:hint="eastAsia"/>
                <w:b/>
                <w:color w:val="auto"/>
                <w:szCs w:val="21"/>
              </w:rPr>
              <w:t>2</w:t>
            </w:r>
            <w:r>
              <w:rPr>
                <w:b/>
                <w:color w:val="auto"/>
                <w:szCs w:val="21"/>
              </w:rPr>
              <w:t>）运营期环境管理</w:t>
            </w:r>
          </w:p>
          <w:p w14:paraId="2F30DA34">
            <w:pPr>
              <w:adjustRightInd w:val="0"/>
              <w:snapToGrid w:val="0"/>
              <w:ind w:firstLine="480"/>
              <w:rPr>
                <w:bCs/>
                <w:color w:val="auto"/>
                <w:szCs w:val="21"/>
              </w:rPr>
            </w:pPr>
            <w:r>
              <w:rPr>
                <w:bCs/>
                <w:color w:val="auto"/>
                <w:szCs w:val="21"/>
              </w:rPr>
              <w:t>建设单位在项目运营期应配备环境保护专业的管理人员。环保管理人员应在各自的岗位责任制中明确所负的环保责任，监督国家法规、条例的贯彻执行情况，制订和贯彻环保管理制度，监控本项目主要污染源，对各部门、操作岗位进行环境保护监督和考核。环境管理的职能为：</w:t>
            </w:r>
          </w:p>
          <w:p w14:paraId="002FD1B7">
            <w:pPr>
              <w:adjustRightInd w:val="0"/>
              <w:snapToGrid w:val="0"/>
              <w:ind w:firstLine="480"/>
              <w:rPr>
                <w:bCs/>
                <w:color w:val="auto"/>
                <w:szCs w:val="21"/>
              </w:rPr>
            </w:pPr>
            <w:r>
              <w:rPr>
                <w:bCs/>
                <w:color w:val="auto"/>
                <w:szCs w:val="21"/>
              </w:rPr>
              <w:t>1）制定和实施各项环境管理计划</w:t>
            </w:r>
            <w:r>
              <w:rPr>
                <w:rFonts w:hint="eastAsia"/>
                <w:bCs/>
                <w:color w:val="auto"/>
                <w:szCs w:val="21"/>
              </w:rPr>
              <w:t>，配合生态环境主管部门的现场监督检查</w:t>
            </w:r>
            <w:r>
              <w:rPr>
                <w:bCs/>
                <w:color w:val="auto"/>
                <w:szCs w:val="21"/>
              </w:rPr>
              <w:t>。</w:t>
            </w:r>
          </w:p>
          <w:p w14:paraId="08068E04">
            <w:pPr>
              <w:adjustRightInd w:val="0"/>
              <w:snapToGrid w:val="0"/>
              <w:ind w:firstLine="480"/>
              <w:rPr>
                <w:bCs/>
                <w:color w:val="auto"/>
                <w:szCs w:val="21"/>
              </w:rPr>
            </w:pPr>
            <w:r>
              <w:rPr>
                <w:rFonts w:hint="eastAsia"/>
                <w:bCs/>
                <w:color w:val="auto"/>
                <w:szCs w:val="21"/>
              </w:rPr>
              <w:t>2</w:t>
            </w:r>
            <w:r>
              <w:rPr>
                <w:bCs/>
                <w:color w:val="auto"/>
                <w:szCs w:val="21"/>
              </w:rPr>
              <w:t>）</w:t>
            </w:r>
            <w:r>
              <w:rPr>
                <w:rFonts w:hint="eastAsia"/>
                <w:color w:val="auto"/>
                <w:kern w:val="0"/>
              </w:rPr>
              <w:t>为保障供水水质，工程建成后</w:t>
            </w:r>
            <w:r>
              <w:rPr>
                <w:rFonts w:hint="eastAsia"/>
                <w:color w:val="auto"/>
              </w:rPr>
              <w:t>王家河水库拟</w:t>
            </w:r>
            <w:r>
              <w:rPr>
                <w:color w:val="auto"/>
              </w:rPr>
              <w:t>《四川省饮用水水源保护区管理规定》</w:t>
            </w:r>
            <w:r>
              <w:rPr>
                <w:rFonts w:hint="eastAsia"/>
                <w:color w:val="auto"/>
              </w:rPr>
              <w:t>要求划定为饮用水水源地，并按</w:t>
            </w:r>
            <w:r>
              <w:rPr>
                <w:color w:val="auto"/>
              </w:rPr>
              <w:t>饮用水水源保护区</w:t>
            </w:r>
            <w:r>
              <w:rPr>
                <w:rFonts w:hint="eastAsia"/>
                <w:color w:val="auto"/>
              </w:rPr>
              <w:t>要求对工程涉及3个水库进行管理</w:t>
            </w:r>
            <w:r>
              <w:rPr>
                <w:bCs/>
                <w:color w:val="auto"/>
                <w:szCs w:val="21"/>
              </w:rPr>
              <w:t>。</w:t>
            </w:r>
          </w:p>
          <w:p w14:paraId="545553E3">
            <w:pPr>
              <w:adjustRightInd w:val="0"/>
              <w:snapToGrid w:val="0"/>
              <w:ind w:firstLine="480"/>
              <w:rPr>
                <w:rFonts w:hint="eastAsia" w:eastAsia="宋体"/>
                <w:color w:val="auto"/>
                <w:kern w:val="0"/>
                <w:lang w:val="en-US" w:eastAsia="zh-CN"/>
              </w:rPr>
            </w:pPr>
            <w:r>
              <w:rPr>
                <w:rFonts w:hint="eastAsia"/>
                <w:bCs/>
                <w:color w:val="auto"/>
                <w:szCs w:val="21"/>
                <w:lang w:val="en-US" w:eastAsia="zh-CN"/>
              </w:rPr>
              <w:t>3）定期对</w:t>
            </w:r>
            <w:r>
              <w:rPr>
                <w:rFonts w:hint="eastAsia"/>
                <w:color w:val="auto"/>
              </w:rPr>
              <w:t>王家河二级加压泵站清水池</w:t>
            </w:r>
            <w:r>
              <w:rPr>
                <w:rFonts w:hint="eastAsia"/>
                <w:color w:val="auto"/>
                <w:lang w:val="en-US" w:eastAsia="zh-CN"/>
              </w:rPr>
              <w:t>进行</w:t>
            </w:r>
            <w:r>
              <w:rPr>
                <w:rFonts w:hint="eastAsia"/>
                <w:color w:val="auto"/>
              </w:rPr>
              <w:t>清淤，运至污水处理厂处置</w:t>
            </w:r>
            <w:r>
              <w:rPr>
                <w:rFonts w:hint="eastAsia"/>
                <w:color w:val="auto"/>
                <w:lang w:eastAsia="zh-CN"/>
              </w:rPr>
              <w:t>，</w:t>
            </w:r>
            <w:r>
              <w:rPr>
                <w:rFonts w:hint="eastAsia"/>
                <w:color w:val="auto"/>
                <w:lang w:val="en-US" w:eastAsia="zh-CN"/>
              </w:rPr>
              <w:t>确保淤泥得到妥善处置</w:t>
            </w:r>
            <w:r>
              <w:rPr>
                <w:rFonts w:hint="eastAsia"/>
                <w:color w:val="auto"/>
              </w:rPr>
              <w:t>。</w:t>
            </w:r>
          </w:p>
          <w:p w14:paraId="32B6EF29">
            <w:pPr>
              <w:ind w:firstLine="480"/>
              <w:rPr>
                <w:color w:val="auto"/>
              </w:rPr>
            </w:pPr>
            <w:r>
              <w:rPr>
                <w:rFonts w:hint="eastAsia"/>
                <w:color w:val="auto"/>
              </w:rPr>
              <w:t>二、环境监测</w:t>
            </w:r>
          </w:p>
          <w:p w14:paraId="0558DD6D">
            <w:pPr>
              <w:ind w:firstLine="480"/>
              <w:rPr>
                <w:color w:val="auto"/>
              </w:rPr>
            </w:pPr>
            <w:r>
              <w:rPr>
                <w:rFonts w:hint="eastAsia"/>
                <w:color w:val="auto"/>
              </w:rPr>
              <w:t>工程施工期环境监测计划如下表所示。</w:t>
            </w:r>
          </w:p>
          <w:p w14:paraId="23A69CCF">
            <w:pPr>
              <w:ind w:firstLine="420"/>
              <w:jc w:val="center"/>
              <w:rPr>
                <w:rFonts w:eastAsia="黑体"/>
                <w:color w:val="auto"/>
                <w:sz w:val="21"/>
                <w:szCs w:val="21"/>
              </w:rPr>
            </w:pPr>
            <w:r>
              <w:rPr>
                <w:rFonts w:eastAsia="黑体"/>
                <w:color w:val="auto"/>
                <w:sz w:val="21"/>
                <w:szCs w:val="21"/>
              </w:rPr>
              <w:t>表5-1 本项目施工期环境监测计划一览表</w:t>
            </w:r>
          </w:p>
          <w:tbl>
            <w:tblPr>
              <w:tblStyle w:val="13"/>
              <w:tblW w:w="8241"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2060"/>
              <w:gridCol w:w="2060"/>
              <w:gridCol w:w="2061"/>
            </w:tblGrid>
            <w:tr w14:paraId="57212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vAlign w:val="center"/>
                </w:tcPr>
                <w:p w14:paraId="49DA6FFD">
                  <w:pPr>
                    <w:spacing w:line="240" w:lineRule="auto"/>
                    <w:ind w:firstLine="0" w:firstLineChars="0"/>
                    <w:jc w:val="center"/>
                    <w:rPr>
                      <w:color w:val="auto"/>
                      <w:sz w:val="21"/>
                      <w:szCs w:val="21"/>
                    </w:rPr>
                  </w:pPr>
                  <w:r>
                    <w:rPr>
                      <w:color w:val="auto"/>
                      <w:sz w:val="21"/>
                      <w:szCs w:val="21"/>
                    </w:rPr>
                    <w:t>监测点位</w:t>
                  </w:r>
                </w:p>
              </w:tc>
              <w:tc>
                <w:tcPr>
                  <w:tcW w:w="2060" w:type="dxa"/>
                  <w:tcBorders>
                    <w:tl2br w:val="nil"/>
                    <w:tr2bl w:val="nil"/>
                  </w:tcBorders>
                  <w:vAlign w:val="center"/>
                </w:tcPr>
                <w:p w14:paraId="5C071EFD">
                  <w:pPr>
                    <w:spacing w:line="240" w:lineRule="auto"/>
                    <w:ind w:firstLine="0" w:firstLineChars="0"/>
                    <w:jc w:val="center"/>
                    <w:rPr>
                      <w:color w:val="auto"/>
                      <w:sz w:val="21"/>
                      <w:szCs w:val="21"/>
                    </w:rPr>
                  </w:pPr>
                  <w:r>
                    <w:rPr>
                      <w:color w:val="auto"/>
                      <w:sz w:val="21"/>
                      <w:szCs w:val="21"/>
                    </w:rPr>
                    <w:t>项目</w:t>
                  </w:r>
                </w:p>
              </w:tc>
              <w:tc>
                <w:tcPr>
                  <w:tcW w:w="2060" w:type="dxa"/>
                  <w:tcBorders>
                    <w:tl2br w:val="nil"/>
                    <w:tr2bl w:val="nil"/>
                  </w:tcBorders>
                  <w:vAlign w:val="center"/>
                </w:tcPr>
                <w:p w14:paraId="183CC733">
                  <w:pPr>
                    <w:spacing w:line="240" w:lineRule="auto"/>
                    <w:ind w:firstLine="0" w:firstLineChars="0"/>
                    <w:jc w:val="center"/>
                    <w:rPr>
                      <w:color w:val="auto"/>
                      <w:sz w:val="21"/>
                      <w:szCs w:val="21"/>
                    </w:rPr>
                  </w:pPr>
                  <w:r>
                    <w:rPr>
                      <w:color w:val="auto"/>
                      <w:sz w:val="21"/>
                      <w:szCs w:val="21"/>
                    </w:rPr>
                    <w:t>监测因子</w:t>
                  </w:r>
                </w:p>
              </w:tc>
              <w:tc>
                <w:tcPr>
                  <w:tcW w:w="2061" w:type="dxa"/>
                  <w:tcBorders>
                    <w:tl2br w:val="nil"/>
                    <w:tr2bl w:val="nil"/>
                  </w:tcBorders>
                  <w:vAlign w:val="center"/>
                </w:tcPr>
                <w:p w14:paraId="6EB2A998">
                  <w:pPr>
                    <w:spacing w:line="240" w:lineRule="auto"/>
                    <w:ind w:firstLine="0" w:firstLineChars="0"/>
                    <w:jc w:val="center"/>
                    <w:rPr>
                      <w:color w:val="auto"/>
                      <w:sz w:val="21"/>
                      <w:szCs w:val="21"/>
                    </w:rPr>
                  </w:pPr>
                  <w:r>
                    <w:rPr>
                      <w:color w:val="auto"/>
                      <w:sz w:val="21"/>
                      <w:szCs w:val="21"/>
                    </w:rPr>
                    <w:t>监测频次</w:t>
                  </w:r>
                </w:p>
              </w:tc>
            </w:tr>
            <w:tr w14:paraId="779E7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vAlign w:val="center"/>
                </w:tcPr>
                <w:p w14:paraId="2D61AC30">
                  <w:pPr>
                    <w:spacing w:line="240" w:lineRule="auto"/>
                    <w:ind w:firstLine="0" w:firstLineChars="0"/>
                    <w:jc w:val="center"/>
                    <w:rPr>
                      <w:color w:val="auto"/>
                      <w:sz w:val="21"/>
                      <w:szCs w:val="21"/>
                    </w:rPr>
                  </w:pPr>
                  <w:r>
                    <w:rPr>
                      <w:color w:val="auto"/>
                      <w:sz w:val="21"/>
                      <w:szCs w:val="21"/>
                    </w:rPr>
                    <w:t>流里河水库片区生活生产区</w:t>
                  </w:r>
                </w:p>
              </w:tc>
              <w:tc>
                <w:tcPr>
                  <w:tcW w:w="2060" w:type="dxa"/>
                  <w:vMerge w:val="restart"/>
                  <w:tcBorders>
                    <w:tl2br w:val="nil"/>
                    <w:tr2bl w:val="nil"/>
                  </w:tcBorders>
                  <w:vAlign w:val="center"/>
                </w:tcPr>
                <w:p w14:paraId="17178435">
                  <w:pPr>
                    <w:spacing w:line="240" w:lineRule="auto"/>
                    <w:ind w:firstLine="0" w:firstLineChars="0"/>
                    <w:jc w:val="center"/>
                    <w:rPr>
                      <w:color w:val="auto"/>
                      <w:sz w:val="21"/>
                      <w:szCs w:val="21"/>
                    </w:rPr>
                  </w:pPr>
                  <w:r>
                    <w:rPr>
                      <w:color w:val="auto"/>
                      <w:sz w:val="21"/>
                      <w:szCs w:val="21"/>
                    </w:rPr>
                    <w:t>环境空气、</w:t>
                  </w:r>
                  <w:r>
                    <w:rPr>
                      <w:rFonts w:hint="eastAsia"/>
                      <w:color w:val="auto"/>
                      <w:sz w:val="21"/>
                      <w:szCs w:val="21"/>
                    </w:rPr>
                    <w:t>声环境</w:t>
                  </w:r>
                </w:p>
              </w:tc>
              <w:tc>
                <w:tcPr>
                  <w:tcW w:w="2060" w:type="dxa"/>
                  <w:vMerge w:val="restart"/>
                  <w:tcBorders>
                    <w:tl2br w:val="nil"/>
                    <w:tr2bl w:val="nil"/>
                  </w:tcBorders>
                  <w:vAlign w:val="center"/>
                </w:tcPr>
                <w:p w14:paraId="7C37A5C4">
                  <w:pPr>
                    <w:spacing w:line="240" w:lineRule="auto"/>
                    <w:ind w:firstLine="0" w:firstLineChars="0"/>
                    <w:jc w:val="center"/>
                    <w:rPr>
                      <w:color w:val="auto"/>
                      <w:sz w:val="21"/>
                      <w:szCs w:val="21"/>
                    </w:rPr>
                  </w:pPr>
                  <w:r>
                    <w:rPr>
                      <w:color w:val="auto"/>
                      <w:sz w:val="21"/>
                      <w:szCs w:val="21"/>
                    </w:rPr>
                    <w:t>TSP、</w:t>
                  </w:r>
                  <w:r>
                    <w:rPr>
                      <w:rFonts w:hint="eastAsia"/>
                      <w:color w:val="auto"/>
                      <w:sz w:val="21"/>
                      <w:szCs w:val="21"/>
                    </w:rPr>
                    <w:t>昼间</w:t>
                  </w:r>
                  <w:r>
                    <w:rPr>
                      <w:color w:val="auto"/>
                      <w:sz w:val="21"/>
                      <w:szCs w:val="21"/>
                    </w:rPr>
                    <w:t>等效A声级</w:t>
                  </w:r>
                </w:p>
              </w:tc>
              <w:tc>
                <w:tcPr>
                  <w:tcW w:w="2061" w:type="dxa"/>
                  <w:vMerge w:val="restart"/>
                  <w:tcBorders>
                    <w:tl2br w:val="nil"/>
                    <w:tr2bl w:val="nil"/>
                  </w:tcBorders>
                  <w:vAlign w:val="center"/>
                </w:tcPr>
                <w:p w14:paraId="7DDF3919">
                  <w:pPr>
                    <w:spacing w:line="240" w:lineRule="auto"/>
                    <w:ind w:firstLine="0" w:firstLineChars="0"/>
                    <w:jc w:val="center"/>
                    <w:rPr>
                      <w:color w:val="auto"/>
                      <w:sz w:val="21"/>
                      <w:szCs w:val="21"/>
                    </w:rPr>
                  </w:pPr>
                  <w:r>
                    <w:rPr>
                      <w:color w:val="auto"/>
                      <w:sz w:val="21"/>
                      <w:szCs w:val="21"/>
                    </w:rPr>
                    <w:t>施工高峰期每季度监测一次</w:t>
                  </w:r>
                </w:p>
              </w:tc>
            </w:tr>
            <w:tr w14:paraId="24F69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vAlign w:val="center"/>
                </w:tcPr>
                <w:p w14:paraId="06EF623D">
                  <w:pPr>
                    <w:spacing w:line="240" w:lineRule="auto"/>
                    <w:ind w:firstLine="0" w:firstLineChars="0"/>
                    <w:jc w:val="center"/>
                    <w:rPr>
                      <w:color w:val="auto"/>
                      <w:sz w:val="21"/>
                      <w:szCs w:val="21"/>
                    </w:rPr>
                  </w:pPr>
                  <w:r>
                    <w:rPr>
                      <w:color w:val="auto"/>
                      <w:sz w:val="21"/>
                      <w:szCs w:val="21"/>
                    </w:rPr>
                    <w:t>流里河水库片区生活生产区</w:t>
                  </w:r>
                </w:p>
              </w:tc>
              <w:tc>
                <w:tcPr>
                  <w:tcW w:w="2060" w:type="dxa"/>
                  <w:vMerge w:val="continue"/>
                  <w:tcBorders>
                    <w:tl2br w:val="nil"/>
                    <w:tr2bl w:val="nil"/>
                  </w:tcBorders>
                  <w:vAlign w:val="center"/>
                </w:tcPr>
                <w:p w14:paraId="28987250">
                  <w:pPr>
                    <w:spacing w:line="240" w:lineRule="auto"/>
                    <w:ind w:firstLine="0" w:firstLineChars="0"/>
                    <w:jc w:val="center"/>
                    <w:rPr>
                      <w:color w:val="auto"/>
                      <w:sz w:val="21"/>
                      <w:szCs w:val="21"/>
                    </w:rPr>
                  </w:pPr>
                </w:p>
              </w:tc>
              <w:tc>
                <w:tcPr>
                  <w:tcW w:w="2060" w:type="dxa"/>
                  <w:vMerge w:val="continue"/>
                  <w:tcBorders>
                    <w:tl2br w:val="nil"/>
                    <w:tr2bl w:val="nil"/>
                  </w:tcBorders>
                  <w:vAlign w:val="center"/>
                </w:tcPr>
                <w:p w14:paraId="7B662AB8">
                  <w:pPr>
                    <w:spacing w:line="240" w:lineRule="auto"/>
                    <w:ind w:firstLine="0" w:firstLineChars="0"/>
                    <w:jc w:val="center"/>
                    <w:rPr>
                      <w:color w:val="auto"/>
                      <w:sz w:val="21"/>
                      <w:szCs w:val="21"/>
                    </w:rPr>
                  </w:pPr>
                </w:p>
              </w:tc>
              <w:tc>
                <w:tcPr>
                  <w:tcW w:w="2061" w:type="dxa"/>
                  <w:vMerge w:val="continue"/>
                  <w:tcBorders>
                    <w:tl2br w:val="nil"/>
                    <w:tr2bl w:val="nil"/>
                  </w:tcBorders>
                  <w:vAlign w:val="center"/>
                </w:tcPr>
                <w:p w14:paraId="1981D5DF">
                  <w:pPr>
                    <w:spacing w:line="240" w:lineRule="auto"/>
                    <w:ind w:firstLine="0" w:firstLineChars="0"/>
                    <w:jc w:val="center"/>
                    <w:rPr>
                      <w:color w:val="auto"/>
                      <w:sz w:val="21"/>
                      <w:szCs w:val="21"/>
                    </w:rPr>
                  </w:pPr>
                </w:p>
              </w:tc>
            </w:tr>
            <w:tr w14:paraId="5096D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60" w:type="dxa"/>
                  <w:tcBorders>
                    <w:tl2br w:val="nil"/>
                    <w:tr2bl w:val="nil"/>
                  </w:tcBorders>
                  <w:vAlign w:val="center"/>
                </w:tcPr>
                <w:p w14:paraId="6BCF5A55">
                  <w:pPr>
                    <w:spacing w:line="240" w:lineRule="auto"/>
                    <w:ind w:firstLine="0" w:firstLineChars="0"/>
                    <w:jc w:val="center"/>
                    <w:rPr>
                      <w:color w:val="auto"/>
                      <w:sz w:val="21"/>
                      <w:szCs w:val="21"/>
                    </w:rPr>
                  </w:pPr>
                  <w:r>
                    <w:rPr>
                      <w:color w:val="auto"/>
                      <w:sz w:val="21"/>
                      <w:szCs w:val="21"/>
                    </w:rPr>
                    <w:t>澌溪沟水库片区生活生产区</w:t>
                  </w:r>
                </w:p>
              </w:tc>
              <w:tc>
                <w:tcPr>
                  <w:tcW w:w="2060" w:type="dxa"/>
                  <w:vMerge w:val="continue"/>
                  <w:tcBorders>
                    <w:tl2br w:val="nil"/>
                    <w:tr2bl w:val="nil"/>
                  </w:tcBorders>
                  <w:vAlign w:val="center"/>
                </w:tcPr>
                <w:p w14:paraId="0CC962CC">
                  <w:pPr>
                    <w:spacing w:line="240" w:lineRule="auto"/>
                    <w:ind w:firstLine="0" w:firstLineChars="0"/>
                    <w:jc w:val="center"/>
                    <w:rPr>
                      <w:color w:val="auto"/>
                      <w:sz w:val="21"/>
                      <w:szCs w:val="21"/>
                    </w:rPr>
                  </w:pPr>
                </w:p>
              </w:tc>
              <w:tc>
                <w:tcPr>
                  <w:tcW w:w="2060" w:type="dxa"/>
                  <w:vMerge w:val="continue"/>
                  <w:tcBorders>
                    <w:tl2br w:val="nil"/>
                    <w:tr2bl w:val="nil"/>
                  </w:tcBorders>
                  <w:vAlign w:val="center"/>
                </w:tcPr>
                <w:p w14:paraId="24DFDF96">
                  <w:pPr>
                    <w:spacing w:line="240" w:lineRule="auto"/>
                    <w:ind w:firstLine="0" w:firstLineChars="0"/>
                    <w:jc w:val="center"/>
                    <w:rPr>
                      <w:color w:val="auto"/>
                      <w:sz w:val="21"/>
                      <w:szCs w:val="21"/>
                    </w:rPr>
                  </w:pPr>
                </w:p>
              </w:tc>
              <w:tc>
                <w:tcPr>
                  <w:tcW w:w="2061" w:type="dxa"/>
                  <w:vMerge w:val="continue"/>
                  <w:tcBorders>
                    <w:tl2br w:val="nil"/>
                    <w:tr2bl w:val="nil"/>
                  </w:tcBorders>
                  <w:vAlign w:val="center"/>
                </w:tcPr>
                <w:p w14:paraId="3B914F2A">
                  <w:pPr>
                    <w:spacing w:line="240" w:lineRule="auto"/>
                    <w:ind w:firstLine="0" w:firstLineChars="0"/>
                    <w:jc w:val="center"/>
                    <w:rPr>
                      <w:color w:val="auto"/>
                      <w:sz w:val="21"/>
                      <w:szCs w:val="21"/>
                    </w:rPr>
                  </w:pPr>
                </w:p>
              </w:tc>
            </w:tr>
          </w:tbl>
          <w:p w14:paraId="6EA64B96">
            <w:pPr>
              <w:ind w:firstLine="480"/>
              <w:rPr>
                <w:color w:val="auto"/>
              </w:rPr>
            </w:pPr>
          </w:p>
          <w:p w14:paraId="4B32F331">
            <w:pPr>
              <w:ind w:firstLine="0" w:firstLineChars="0"/>
              <w:rPr>
                <w:color w:val="auto"/>
              </w:rPr>
            </w:pPr>
          </w:p>
        </w:tc>
      </w:tr>
      <w:tr w14:paraId="218C16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vAlign w:val="center"/>
          </w:tcPr>
          <w:p w14:paraId="67179284">
            <w:pPr>
              <w:adjustRightInd w:val="0"/>
              <w:snapToGrid w:val="0"/>
              <w:ind w:firstLine="0" w:firstLineChars="0"/>
              <w:rPr>
                <w:color w:val="auto"/>
                <w:kern w:val="0"/>
              </w:rPr>
            </w:pPr>
            <w:r>
              <w:rPr>
                <w:color w:val="auto"/>
                <w:kern w:val="0"/>
              </w:rPr>
              <w:t>环保投资</w:t>
            </w:r>
          </w:p>
        </w:tc>
        <w:tc>
          <w:tcPr>
            <w:tcW w:w="8457" w:type="dxa"/>
          </w:tcPr>
          <w:p w14:paraId="0E5CAEA5">
            <w:pPr>
              <w:ind w:firstLine="480"/>
              <w:rPr>
                <w:color w:val="auto"/>
              </w:rPr>
            </w:pPr>
            <w:r>
              <w:rPr>
                <w:color w:val="auto"/>
              </w:rPr>
              <w:t>本项目总投资为</w:t>
            </w:r>
            <w:r>
              <w:rPr>
                <w:rFonts w:hint="eastAsia"/>
                <w:color w:val="auto"/>
              </w:rPr>
              <w:t>3904.70</w:t>
            </w:r>
            <w:r>
              <w:rPr>
                <w:color w:val="auto"/>
              </w:rPr>
              <w:t>万元，经</w:t>
            </w:r>
            <w:r>
              <w:rPr>
                <w:rFonts w:hint="eastAsia"/>
                <w:color w:val="auto"/>
              </w:rPr>
              <w:t>测</w:t>
            </w:r>
            <w:r>
              <w:rPr>
                <w:color w:val="auto"/>
              </w:rPr>
              <w:t>算，环境保护估算投资为131.58万元，占总投资的</w:t>
            </w:r>
            <w:r>
              <w:rPr>
                <w:rFonts w:hint="eastAsia"/>
                <w:color w:val="auto"/>
              </w:rPr>
              <w:t>3.37</w:t>
            </w:r>
            <w:r>
              <w:rPr>
                <w:color w:val="auto"/>
              </w:rPr>
              <w:t>%。环保设施及投资估算一览表见表5-3。</w:t>
            </w:r>
          </w:p>
          <w:p w14:paraId="14A49782">
            <w:pPr>
              <w:pStyle w:val="17"/>
              <w:rPr>
                <w:rFonts w:hint="default"/>
                <w:color w:val="auto"/>
              </w:rPr>
            </w:pPr>
            <w:r>
              <w:rPr>
                <w:rFonts w:hint="default"/>
                <w:color w:val="auto"/>
              </w:rPr>
              <w:t>表5-3 环保设施（措施）及投资估算一览表</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134"/>
              <w:gridCol w:w="1134"/>
              <w:gridCol w:w="3184"/>
              <w:gridCol w:w="1102"/>
              <w:gridCol w:w="1102"/>
            </w:tblGrid>
            <w:tr w14:paraId="7B468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noWrap/>
                  <w:vAlign w:val="center"/>
                </w:tcPr>
                <w:p w14:paraId="7E08126E">
                  <w:pPr>
                    <w:widowControl/>
                    <w:autoSpaceDE/>
                    <w:autoSpaceDN/>
                    <w:spacing w:line="240" w:lineRule="auto"/>
                    <w:ind w:firstLine="0" w:firstLineChars="0"/>
                    <w:jc w:val="left"/>
                    <w:rPr>
                      <w:rFonts w:hint="eastAsia" w:cs="宋体"/>
                      <w:color w:val="auto"/>
                      <w:kern w:val="0"/>
                      <w:sz w:val="18"/>
                      <w:szCs w:val="22"/>
                    </w:rPr>
                  </w:pPr>
                  <w:r>
                    <w:rPr>
                      <w:rFonts w:hint="eastAsia" w:cs="宋体"/>
                      <w:color w:val="auto"/>
                      <w:kern w:val="0"/>
                      <w:sz w:val="18"/>
                      <w:szCs w:val="22"/>
                    </w:rPr>
                    <w:t>序号</w:t>
                  </w:r>
                </w:p>
              </w:tc>
              <w:tc>
                <w:tcPr>
                  <w:tcW w:w="1134" w:type="dxa"/>
                  <w:vAlign w:val="center"/>
                </w:tcPr>
                <w:p w14:paraId="16B80365">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类别</w:t>
                  </w:r>
                </w:p>
              </w:tc>
              <w:tc>
                <w:tcPr>
                  <w:tcW w:w="1134" w:type="dxa"/>
                  <w:vAlign w:val="center"/>
                </w:tcPr>
                <w:p w14:paraId="2C66EFD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项目</w:t>
                  </w:r>
                </w:p>
              </w:tc>
              <w:tc>
                <w:tcPr>
                  <w:tcW w:w="3184" w:type="dxa"/>
                  <w:vAlign w:val="center"/>
                </w:tcPr>
                <w:p w14:paraId="040CD7A4">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环保措施内容</w:t>
                  </w:r>
                </w:p>
              </w:tc>
              <w:tc>
                <w:tcPr>
                  <w:tcW w:w="1102" w:type="dxa"/>
                  <w:vAlign w:val="center"/>
                </w:tcPr>
                <w:p w14:paraId="7BB966B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金额（万元）</w:t>
                  </w:r>
                </w:p>
              </w:tc>
              <w:tc>
                <w:tcPr>
                  <w:tcW w:w="1102" w:type="dxa"/>
                  <w:vAlign w:val="center"/>
                </w:tcPr>
                <w:p w14:paraId="12A5BCB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备注</w:t>
                  </w:r>
                </w:p>
              </w:tc>
            </w:tr>
            <w:tr w14:paraId="4F9631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restart"/>
                  <w:vAlign w:val="center"/>
                </w:tcPr>
                <w:p w14:paraId="5B6C827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1</w:t>
                  </w:r>
                </w:p>
              </w:tc>
              <w:tc>
                <w:tcPr>
                  <w:tcW w:w="1134" w:type="dxa"/>
                  <w:vMerge w:val="restart"/>
                  <w:vAlign w:val="center"/>
                </w:tcPr>
                <w:p w14:paraId="6CD5272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大气污染防治</w:t>
                  </w:r>
                </w:p>
              </w:tc>
              <w:tc>
                <w:tcPr>
                  <w:tcW w:w="1134" w:type="dxa"/>
                  <w:vAlign w:val="center"/>
                </w:tcPr>
                <w:p w14:paraId="484BF7E8">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车辆扬尘</w:t>
                  </w:r>
                </w:p>
              </w:tc>
              <w:tc>
                <w:tcPr>
                  <w:tcW w:w="3184" w:type="dxa"/>
                  <w:vAlign w:val="center"/>
                </w:tcPr>
                <w:p w14:paraId="2572591F">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施工道路地面硬化，洒水抑尘，进出场设置冲洗场所</w:t>
                  </w:r>
                </w:p>
              </w:tc>
              <w:tc>
                <w:tcPr>
                  <w:tcW w:w="1102" w:type="dxa"/>
                  <w:vAlign w:val="center"/>
                </w:tcPr>
                <w:p w14:paraId="2ED1CBEF">
                  <w:pPr>
                    <w:widowControl/>
                    <w:autoSpaceDE/>
                    <w:autoSpaceDN/>
                    <w:spacing w:line="240" w:lineRule="auto"/>
                    <w:ind w:firstLine="0" w:firstLineChars="0"/>
                    <w:jc w:val="center"/>
                    <w:rPr>
                      <w:color w:val="auto"/>
                      <w:kern w:val="0"/>
                      <w:sz w:val="18"/>
                      <w:szCs w:val="21"/>
                    </w:rPr>
                  </w:pPr>
                  <w:r>
                    <w:rPr>
                      <w:color w:val="auto"/>
                      <w:kern w:val="0"/>
                      <w:sz w:val="18"/>
                      <w:szCs w:val="21"/>
                    </w:rPr>
                    <w:t>15</w:t>
                  </w:r>
                </w:p>
              </w:tc>
              <w:tc>
                <w:tcPr>
                  <w:tcW w:w="1102" w:type="dxa"/>
                  <w:vAlign w:val="center"/>
                </w:tcPr>
                <w:p w14:paraId="4189693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施工道路硬化计入主体投资</w:t>
                  </w:r>
                </w:p>
              </w:tc>
            </w:tr>
            <w:tr w14:paraId="59D695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4FEA8A01">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73BD3AB3">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3D81EC4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施工机械燃油废气和车辆尾气</w:t>
                  </w:r>
                </w:p>
              </w:tc>
              <w:tc>
                <w:tcPr>
                  <w:tcW w:w="3184" w:type="dxa"/>
                  <w:vAlign w:val="center"/>
                </w:tcPr>
                <w:p w14:paraId="3C520E0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采用符合国家标准的机械车辆，按时保养维护</w:t>
                  </w:r>
                </w:p>
              </w:tc>
              <w:tc>
                <w:tcPr>
                  <w:tcW w:w="1102" w:type="dxa"/>
                  <w:vAlign w:val="center"/>
                </w:tcPr>
                <w:p w14:paraId="32F0D8CB">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1102" w:type="dxa"/>
                  <w:vAlign w:val="center"/>
                </w:tcPr>
                <w:p w14:paraId="5CB9AAB4">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不单独计列</w:t>
                  </w:r>
                </w:p>
              </w:tc>
            </w:tr>
            <w:tr w14:paraId="0E855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183BE934">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4D6E2C6F">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16AB6F2D">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拌和粉尘</w:t>
                  </w:r>
                </w:p>
              </w:tc>
              <w:tc>
                <w:tcPr>
                  <w:tcW w:w="3184" w:type="dxa"/>
                  <w:vAlign w:val="center"/>
                </w:tcPr>
                <w:p w14:paraId="49D4C473">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拌合机加盖，洒水降尘</w:t>
                  </w:r>
                </w:p>
              </w:tc>
              <w:tc>
                <w:tcPr>
                  <w:tcW w:w="1102" w:type="dxa"/>
                  <w:vAlign w:val="center"/>
                </w:tcPr>
                <w:p w14:paraId="028144FA">
                  <w:pPr>
                    <w:widowControl/>
                    <w:autoSpaceDE/>
                    <w:autoSpaceDN/>
                    <w:spacing w:line="240" w:lineRule="auto"/>
                    <w:ind w:firstLine="0" w:firstLineChars="0"/>
                    <w:jc w:val="center"/>
                    <w:rPr>
                      <w:color w:val="auto"/>
                      <w:kern w:val="0"/>
                      <w:sz w:val="18"/>
                      <w:szCs w:val="21"/>
                    </w:rPr>
                  </w:pPr>
                  <w:r>
                    <w:rPr>
                      <w:color w:val="auto"/>
                      <w:kern w:val="0"/>
                      <w:sz w:val="18"/>
                      <w:szCs w:val="21"/>
                    </w:rPr>
                    <w:t>2</w:t>
                  </w:r>
                </w:p>
              </w:tc>
              <w:tc>
                <w:tcPr>
                  <w:tcW w:w="1102" w:type="dxa"/>
                  <w:vAlign w:val="center"/>
                </w:tcPr>
                <w:p w14:paraId="343FCC1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1578B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2CF5C61E">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6BBE4A1B">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7E2DEC8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场地扬尘</w:t>
                  </w:r>
                </w:p>
              </w:tc>
              <w:tc>
                <w:tcPr>
                  <w:tcW w:w="3184" w:type="dxa"/>
                  <w:vAlign w:val="center"/>
                </w:tcPr>
                <w:p w14:paraId="42D73D6C">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设置围挡，洒水、喷雾，物料遮盖等</w:t>
                  </w:r>
                </w:p>
              </w:tc>
              <w:tc>
                <w:tcPr>
                  <w:tcW w:w="1102" w:type="dxa"/>
                  <w:vAlign w:val="center"/>
                </w:tcPr>
                <w:p w14:paraId="565C3E5C">
                  <w:pPr>
                    <w:widowControl/>
                    <w:autoSpaceDE/>
                    <w:autoSpaceDN/>
                    <w:spacing w:line="240" w:lineRule="auto"/>
                    <w:ind w:firstLine="0" w:firstLineChars="0"/>
                    <w:jc w:val="center"/>
                    <w:rPr>
                      <w:color w:val="auto"/>
                      <w:kern w:val="0"/>
                      <w:sz w:val="18"/>
                      <w:szCs w:val="21"/>
                    </w:rPr>
                  </w:pPr>
                  <w:r>
                    <w:rPr>
                      <w:color w:val="auto"/>
                      <w:kern w:val="0"/>
                      <w:sz w:val="18"/>
                      <w:szCs w:val="21"/>
                    </w:rPr>
                    <w:t>10</w:t>
                  </w:r>
                </w:p>
              </w:tc>
              <w:tc>
                <w:tcPr>
                  <w:tcW w:w="1102" w:type="dxa"/>
                  <w:vAlign w:val="center"/>
                </w:tcPr>
                <w:p w14:paraId="2BD13F5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7FBE0D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restart"/>
                  <w:vAlign w:val="center"/>
                </w:tcPr>
                <w:p w14:paraId="53A56F39">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2</w:t>
                  </w:r>
                </w:p>
              </w:tc>
              <w:tc>
                <w:tcPr>
                  <w:tcW w:w="1134" w:type="dxa"/>
                  <w:vMerge w:val="restart"/>
                  <w:vAlign w:val="center"/>
                </w:tcPr>
                <w:p w14:paraId="0CA8CDBA">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水污染防治</w:t>
                  </w:r>
                </w:p>
              </w:tc>
              <w:tc>
                <w:tcPr>
                  <w:tcW w:w="1134" w:type="dxa"/>
                  <w:vAlign w:val="center"/>
                </w:tcPr>
                <w:p w14:paraId="42E92140">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生活污水</w:t>
                  </w:r>
                </w:p>
              </w:tc>
              <w:tc>
                <w:tcPr>
                  <w:tcW w:w="3184" w:type="dxa"/>
                  <w:vAlign w:val="center"/>
                </w:tcPr>
                <w:p w14:paraId="04AD7570">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利用租用民房处理设施处理后回用，不外排</w:t>
                  </w:r>
                </w:p>
              </w:tc>
              <w:tc>
                <w:tcPr>
                  <w:tcW w:w="1102" w:type="dxa"/>
                  <w:vAlign w:val="center"/>
                </w:tcPr>
                <w:p w14:paraId="0D7EED5B">
                  <w:pPr>
                    <w:widowControl/>
                    <w:autoSpaceDE/>
                    <w:autoSpaceDN/>
                    <w:spacing w:line="240" w:lineRule="auto"/>
                    <w:ind w:firstLine="0" w:firstLineChars="0"/>
                    <w:jc w:val="center"/>
                    <w:rPr>
                      <w:color w:val="auto"/>
                      <w:kern w:val="0"/>
                      <w:sz w:val="18"/>
                      <w:szCs w:val="21"/>
                    </w:rPr>
                  </w:pPr>
                  <w:r>
                    <w:rPr>
                      <w:rFonts w:hint="eastAsia"/>
                      <w:color w:val="auto"/>
                      <w:kern w:val="0"/>
                      <w:sz w:val="18"/>
                      <w:szCs w:val="21"/>
                    </w:rPr>
                    <w:t>　</w:t>
                  </w:r>
                </w:p>
              </w:tc>
              <w:tc>
                <w:tcPr>
                  <w:tcW w:w="1102" w:type="dxa"/>
                  <w:vAlign w:val="center"/>
                </w:tcPr>
                <w:p w14:paraId="5964813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7FFB9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3928E2A3">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708B6133">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2E1CE780">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机械设备冲洗废水</w:t>
                  </w:r>
                </w:p>
              </w:tc>
              <w:tc>
                <w:tcPr>
                  <w:tcW w:w="3184" w:type="dxa"/>
                  <w:vAlign w:val="center"/>
                </w:tcPr>
                <w:p w14:paraId="25E9EAA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各设备冲洗点设置隔油沉淀池</w:t>
                  </w:r>
                </w:p>
              </w:tc>
              <w:tc>
                <w:tcPr>
                  <w:tcW w:w="1102" w:type="dxa"/>
                  <w:vAlign w:val="center"/>
                </w:tcPr>
                <w:p w14:paraId="19DBB148">
                  <w:pPr>
                    <w:widowControl/>
                    <w:autoSpaceDE/>
                    <w:autoSpaceDN/>
                    <w:spacing w:line="240" w:lineRule="auto"/>
                    <w:ind w:firstLine="0" w:firstLineChars="0"/>
                    <w:jc w:val="center"/>
                    <w:rPr>
                      <w:color w:val="auto"/>
                      <w:kern w:val="0"/>
                      <w:sz w:val="18"/>
                      <w:szCs w:val="21"/>
                    </w:rPr>
                  </w:pPr>
                  <w:r>
                    <w:rPr>
                      <w:color w:val="auto"/>
                      <w:kern w:val="0"/>
                      <w:sz w:val="18"/>
                      <w:szCs w:val="21"/>
                    </w:rPr>
                    <w:t>15</w:t>
                  </w:r>
                </w:p>
              </w:tc>
              <w:tc>
                <w:tcPr>
                  <w:tcW w:w="1102" w:type="dxa"/>
                  <w:vAlign w:val="center"/>
                </w:tcPr>
                <w:p w14:paraId="1C2CDBD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25912E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restart"/>
                  <w:vAlign w:val="center"/>
                </w:tcPr>
                <w:p w14:paraId="72BA62EB">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3</w:t>
                  </w:r>
                </w:p>
              </w:tc>
              <w:tc>
                <w:tcPr>
                  <w:tcW w:w="1134" w:type="dxa"/>
                  <w:vMerge w:val="restart"/>
                  <w:vAlign w:val="center"/>
                </w:tcPr>
                <w:p w14:paraId="7371CF79">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噪声防治</w:t>
                  </w:r>
                </w:p>
              </w:tc>
              <w:tc>
                <w:tcPr>
                  <w:tcW w:w="1134" w:type="dxa"/>
                  <w:vMerge w:val="restart"/>
                  <w:vAlign w:val="center"/>
                </w:tcPr>
                <w:p w14:paraId="703149C5">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施工、运输</w:t>
                  </w:r>
                </w:p>
              </w:tc>
              <w:tc>
                <w:tcPr>
                  <w:tcW w:w="3184" w:type="dxa"/>
                  <w:vAlign w:val="center"/>
                </w:tcPr>
                <w:p w14:paraId="2DE7EB4D">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选用低噪设备，保证设备正常运转，文明施工。</w:t>
                  </w:r>
                </w:p>
              </w:tc>
              <w:tc>
                <w:tcPr>
                  <w:tcW w:w="1102" w:type="dxa"/>
                  <w:vAlign w:val="center"/>
                </w:tcPr>
                <w:p w14:paraId="353AAFA2">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1102" w:type="dxa"/>
                  <w:vAlign w:val="center"/>
                </w:tcPr>
                <w:p w14:paraId="27709858">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7E9E7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4DA555C1">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5AD7AC0C">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1EF02785">
                  <w:pPr>
                    <w:widowControl/>
                    <w:autoSpaceDE/>
                    <w:autoSpaceDN/>
                    <w:spacing w:line="240" w:lineRule="auto"/>
                    <w:ind w:firstLine="0" w:firstLineChars="0"/>
                    <w:jc w:val="left"/>
                    <w:rPr>
                      <w:rFonts w:hint="eastAsia" w:cs="宋体"/>
                      <w:color w:val="auto"/>
                      <w:kern w:val="0"/>
                      <w:sz w:val="18"/>
                      <w:szCs w:val="21"/>
                    </w:rPr>
                  </w:pPr>
                </w:p>
              </w:tc>
              <w:tc>
                <w:tcPr>
                  <w:tcW w:w="3184" w:type="dxa"/>
                  <w:vAlign w:val="center"/>
                </w:tcPr>
                <w:p w14:paraId="7E28E703">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高噪声设备运行时设置临时围档，生产生活区设置硬质围档或修建围墙</w:t>
                  </w:r>
                </w:p>
              </w:tc>
              <w:tc>
                <w:tcPr>
                  <w:tcW w:w="1102" w:type="dxa"/>
                  <w:vAlign w:val="center"/>
                </w:tcPr>
                <w:p w14:paraId="02336C28">
                  <w:pPr>
                    <w:widowControl/>
                    <w:autoSpaceDE/>
                    <w:autoSpaceDN/>
                    <w:spacing w:line="240" w:lineRule="auto"/>
                    <w:ind w:firstLine="0" w:firstLineChars="0"/>
                    <w:jc w:val="center"/>
                    <w:rPr>
                      <w:color w:val="auto"/>
                      <w:kern w:val="0"/>
                      <w:sz w:val="18"/>
                      <w:szCs w:val="21"/>
                    </w:rPr>
                  </w:pPr>
                  <w:r>
                    <w:rPr>
                      <w:color w:val="auto"/>
                      <w:kern w:val="0"/>
                      <w:sz w:val="18"/>
                      <w:szCs w:val="21"/>
                    </w:rPr>
                    <w:t>15</w:t>
                  </w:r>
                </w:p>
              </w:tc>
              <w:tc>
                <w:tcPr>
                  <w:tcW w:w="1102" w:type="dxa"/>
                  <w:vAlign w:val="center"/>
                </w:tcPr>
                <w:p w14:paraId="09C8FCFF">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03A5A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restart"/>
                  <w:vAlign w:val="center"/>
                </w:tcPr>
                <w:p w14:paraId="20CFB793">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4</w:t>
                  </w:r>
                </w:p>
              </w:tc>
              <w:tc>
                <w:tcPr>
                  <w:tcW w:w="1134" w:type="dxa"/>
                  <w:vMerge w:val="restart"/>
                  <w:vAlign w:val="center"/>
                </w:tcPr>
                <w:p w14:paraId="5BC236A0">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固废处置</w:t>
                  </w:r>
                </w:p>
              </w:tc>
              <w:tc>
                <w:tcPr>
                  <w:tcW w:w="1134" w:type="dxa"/>
                  <w:vAlign w:val="center"/>
                </w:tcPr>
                <w:p w14:paraId="44B6891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生活垃圾</w:t>
                  </w:r>
                </w:p>
              </w:tc>
              <w:tc>
                <w:tcPr>
                  <w:tcW w:w="3184" w:type="dxa"/>
                  <w:vAlign w:val="center"/>
                </w:tcPr>
                <w:p w14:paraId="29B71A7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设置垃圾桶、箱，收集后环卫清运</w:t>
                  </w:r>
                </w:p>
              </w:tc>
              <w:tc>
                <w:tcPr>
                  <w:tcW w:w="1102" w:type="dxa"/>
                  <w:vAlign w:val="center"/>
                </w:tcPr>
                <w:p w14:paraId="707E3305">
                  <w:pPr>
                    <w:widowControl/>
                    <w:autoSpaceDE/>
                    <w:autoSpaceDN/>
                    <w:spacing w:line="240" w:lineRule="auto"/>
                    <w:ind w:firstLine="0" w:firstLineChars="0"/>
                    <w:jc w:val="center"/>
                    <w:rPr>
                      <w:color w:val="auto"/>
                      <w:kern w:val="0"/>
                      <w:sz w:val="18"/>
                      <w:szCs w:val="21"/>
                    </w:rPr>
                  </w:pPr>
                  <w:r>
                    <w:rPr>
                      <w:color w:val="auto"/>
                      <w:kern w:val="0"/>
                      <w:sz w:val="18"/>
                      <w:szCs w:val="21"/>
                    </w:rPr>
                    <w:t>1</w:t>
                  </w:r>
                </w:p>
              </w:tc>
              <w:tc>
                <w:tcPr>
                  <w:tcW w:w="1102" w:type="dxa"/>
                  <w:vAlign w:val="center"/>
                </w:tcPr>
                <w:p w14:paraId="34783C15">
                  <w:pPr>
                    <w:widowControl/>
                    <w:autoSpaceDE/>
                    <w:autoSpaceDN/>
                    <w:spacing w:line="240" w:lineRule="auto"/>
                    <w:ind w:firstLine="0" w:firstLineChars="0"/>
                    <w:jc w:val="center"/>
                    <w:rPr>
                      <w:color w:val="auto"/>
                      <w:kern w:val="0"/>
                      <w:sz w:val="18"/>
                      <w:szCs w:val="21"/>
                    </w:rPr>
                  </w:pPr>
                </w:p>
              </w:tc>
            </w:tr>
            <w:tr w14:paraId="09B3A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06487CA3">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25E232FD">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71CAC91B">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工程开挖土石方</w:t>
                  </w:r>
                </w:p>
              </w:tc>
              <w:tc>
                <w:tcPr>
                  <w:tcW w:w="3184" w:type="dxa"/>
                  <w:vAlign w:val="center"/>
                </w:tcPr>
                <w:p w14:paraId="0B920FAA">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弃渣堆放前进行表土剥离，并集中堆放，采取临时拦挡、覆盖等措施防治水土流失；在堆放区下边坡设置拦渣堤、截水沟、平台排水沟和沉沙池等水土流失防治措施</w:t>
                  </w:r>
                </w:p>
              </w:tc>
              <w:tc>
                <w:tcPr>
                  <w:tcW w:w="1102" w:type="dxa"/>
                  <w:vAlign w:val="center"/>
                </w:tcPr>
                <w:p w14:paraId="7D6FB429">
                  <w:pPr>
                    <w:widowControl/>
                    <w:autoSpaceDE/>
                    <w:autoSpaceDN/>
                    <w:spacing w:line="240" w:lineRule="auto"/>
                    <w:ind w:firstLine="0" w:firstLineChars="0"/>
                    <w:jc w:val="center"/>
                    <w:rPr>
                      <w:color w:val="auto"/>
                      <w:kern w:val="0"/>
                      <w:sz w:val="18"/>
                      <w:szCs w:val="21"/>
                    </w:rPr>
                  </w:pPr>
                  <w:r>
                    <w:rPr>
                      <w:color w:val="auto"/>
                      <w:kern w:val="0"/>
                      <w:sz w:val="18"/>
                      <w:szCs w:val="21"/>
                    </w:rPr>
                    <w:t>54.09</w:t>
                  </w:r>
                </w:p>
              </w:tc>
              <w:tc>
                <w:tcPr>
                  <w:tcW w:w="1102" w:type="dxa"/>
                  <w:vAlign w:val="center"/>
                </w:tcPr>
                <w:p w14:paraId="415F8D1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计入水保投资，不重复计列</w:t>
                  </w:r>
                </w:p>
              </w:tc>
            </w:tr>
            <w:tr w14:paraId="62B9A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4D4992B5">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1A8E0BD6">
                  <w:pPr>
                    <w:widowControl/>
                    <w:autoSpaceDE/>
                    <w:autoSpaceDN/>
                    <w:spacing w:line="240" w:lineRule="auto"/>
                    <w:ind w:firstLine="0" w:firstLineChars="0"/>
                    <w:jc w:val="left"/>
                    <w:rPr>
                      <w:rFonts w:hint="eastAsia" w:cs="宋体"/>
                      <w:color w:val="auto"/>
                      <w:kern w:val="0"/>
                      <w:sz w:val="18"/>
                      <w:szCs w:val="21"/>
                    </w:rPr>
                  </w:pPr>
                </w:p>
              </w:tc>
              <w:tc>
                <w:tcPr>
                  <w:tcW w:w="1134" w:type="dxa"/>
                  <w:vAlign w:val="center"/>
                </w:tcPr>
                <w:p w14:paraId="5668E1AA">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废弃建筑垃圾和包装材料</w:t>
                  </w:r>
                </w:p>
              </w:tc>
              <w:tc>
                <w:tcPr>
                  <w:tcW w:w="3184" w:type="dxa"/>
                  <w:vAlign w:val="center"/>
                </w:tcPr>
                <w:p w14:paraId="10A6173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废木、废钢筋等可回收的部分交由废弃资源回收公司处理；不可利用的建筑垃圾由施工单位将其运至政府部门指定的建筑垃圾处置场进行处理</w:t>
                  </w:r>
                </w:p>
              </w:tc>
              <w:tc>
                <w:tcPr>
                  <w:tcW w:w="1102" w:type="dxa"/>
                  <w:vAlign w:val="center"/>
                </w:tcPr>
                <w:p w14:paraId="4ED483DF">
                  <w:pPr>
                    <w:widowControl/>
                    <w:autoSpaceDE/>
                    <w:autoSpaceDN/>
                    <w:spacing w:line="240" w:lineRule="auto"/>
                    <w:ind w:firstLine="0" w:firstLineChars="0"/>
                    <w:jc w:val="center"/>
                    <w:rPr>
                      <w:color w:val="auto"/>
                      <w:kern w:val="0"/>
                      <w:sz w:val="18"/>
                      <w:szCs w:val="21"/>
                    </w:rPr>
                  </w:pPr>
                  <w:r>
                    <w:rPr>
                      <w:color w:val="auto"/>
                      <w:kern w:val="0"/>
                      <w:sz w:val="18"/>
                      <w:szCs w:val="21"/>
                    </w:rPr>
                    <w:t>2</w:t>
                  </w:r>
                </w:p>
              </w:tc>
              <w:tc>
                <w:tcPr>
                  <w:tcW w:w="1102" w:type="dxa"/>
                  <w:vAlign w:val="center"/>
                </w:tcPr>
                <w:p w14:paraId="49D3F06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05FFED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restart"/>
                  <w:vAlign w:val="center"/>
                </w:tcPr>
                <w:p w14:paraId="077F7315">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5</w:t>
                  </w:r>
                </w:p>
              </w:tc>
              <w:tc>
                <w:tcPr>
                  <w:tcW w:w="1134" w:type="dxa"/>
                  <w:vMerge w:val="restart"/>
                  <w:vAlign w:val="center"/>
                </w:tcPr>
                <w:p w14:paraId="3F6EAE6B">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生态保护</w:t>
                  </w:r>
                </w:p>
              </w:tc>
              <w:tc>
                <w:tcPr>
                  <w:tcW w:w="1134" w:type="dxa"/>
                  <w:vMerge w:val="restart"/>
                  <w:vAlign w:val="center"/>
                </w:tcPr>
                <w:p w14:paraId="142604C8">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生态保护措施</w:t>
                  </w:r>
                </w:p>
              </w:tc>
              <w:tc>
                <w:tcPr>
                  <w:tcW w:w="3184" w:type="dxa"/>
                  <w:vAlign w:val="center"/>
                </w:tcPr>
                <w:p w14:paraId="1192323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设置宣传栏、警示牌，严格监管，避免野蛮施工</w:t>
                  </w:r>
                </w:p>
              </w:tc>
              <w:tc>
                <w:tcPr>
                  <w:tcW w:w="1102" w:type="dxa"/>
                  <w:vAlign w:val="center"/>
                </w:tcPr>
                <w:p w14:paraId="309C4ADB">
                  <w:pPr>
                    <w:widowControl/>
                    <w:autoSpaceDE/>
                    <w:autoSpaceDN/>
                    <w:spacing w:line="240" w:lineRule="auto"/>
                    <w:ind w:firstLine="0" w:firstLineChars="0"/>
                    <w:jc w:val="center"/>
                    <w:rPr>
                      <w:color w:val="auto"/>
                      <w:kern w:val="0"/>
                      <w:sz w:val="18"/>
                      <w:szCs w:val="21"/>
                    </w:rPr>
                  </w:pPr>
                  <w:r>
                    <w:rPr>
                      <w:color w:val="auto"/>
                      <w:kern w:val="0"/>
                      <w:sz w:val="18"/>
                      <w:szCs w:val="21"/>
                    </w:rPr>
                    <w:t>1</w:t>
                  </w:r>
                </w:p>
              </w:tc>
              <w:tc>
                <w:tcPr>
                  <w:tcW w:w="1102" w:type="dxa"/>
                  <w:vAlign w:val="center"/>
                </w:tcPr>
                <w:p w14:paraId="76F0913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0AAE4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4638F875">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12A088CF">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33AD1AAF">
                  <w:pPr>
                    <w:widowControl/>
                    <w:autoSpaceDE/>
                    <w:autoSpaceDN/>
                    <w:spacing w:line="240" w:lineRule="auto"/>
                    <w:ind w:firstLine="0" w:firstLineChars="0"/>
                    <w:jc w:val="left"/>
                    <w:rPr>
                      <w:rFonts w:hint="eastAsia" w:cs="宋体"/>
                      <w:color w:val="auto"/>
                      <w:kern w:val="0"/>
                      <w:sz w:val="18"/>
                      <w:szCs w:val="21"/>
                    </w:rPr>
                  </w:pPr>
                </w:p>
              </w:tc>
              <w:tc>
                <w:tcPr>
                  <w:tcW w:w="3184" w:type="dxa"/>
                  <w:vAlign w:val="center"/>
                </w:tcPr>
                <w:p w14:paraId="12E568D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施工结束进行植被恢复</w:t>
                  </w:r>
                </w:p>
              </w:tc>
              <w:tc>
                <w:tcPr>
                  <w:tcW w:w="1102" w:type="dxa"/>
                  <w:vAlign w:val="center"/>
                </w:tcPr>
                <w:p w14:paraId="05F4D675">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5.11</w:t>
                  </w:r>
                </w:p>
              </w:tc>
              <w:tc>
                <w:tcPr>
                  <w:tcW w:w="1102" w:type="dxa"/>
                  <w:vAlign w:val="center"/>
                </w:tcPr>
                <w:p w14:paraId="1CD3F6C3">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计入水保投资，不重复计列</w:t>
                  </w:r>
                </w:p>
              </w:tc>
            </w:tr>
            <w:tr w14:paraId="1FEF2A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5B4358A6">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41ACBCC9">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1AD334C0">
                  <w:pPr>
                    <w:widowControl/>
                    <w:autoSpaceDE/>
                    <w:autoSpaceDN/>
                    <w:spacing w:line="240" w:lineRule="auto"/>
                    <w:ind w:firstLine="0" w:firstLineChars="0"/>
                    <w:jc w:val="left"/>
                    <w:rPr>
                      <w:rFonts w:hint="eastAsia" w:cs="宋体"/>
                      <w:color w:val="auto"/>
                      <w:kern w:val="0"/>
                      <w:sz w:val="18"/>
                      <w:szCs w:val="21"/>
                    </w:rPr>
                  </w:pPr>
                </w:p>
              </w:tc>
              <w:tc>
                <w:tcPr>
                  <w:tcW w:w="3184" w:type="dxa"/>
                  <w:vAlign w:val="center"/>
                </w:tcPr>
                <w:p w14:paraId="339B796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土工布/吸油毡隔离等</w:t>
                  </w:r>
                </w:p>
              </w:tc>
              <w:tc>
                <w:tcPr>
                  <w:tcW w:w="1102" w:type="dxa"/>
                  <w:vAlign w:val="center"/>
                </w:tcPr>
                <w:p w14:paraId="6E8D1B1D">
                  <w:pPr>
                    <w:widowControl/>
                    <w:autoSpaceDE/>
                    <w:autoSpaceDN/>
                    <w:spacing w:line="240" w:lineRule="auto"/>
                    <w:ind w:firstLine="0" w:firstLineChars="0"/>
                    <w:jc w:val="center"/>
                    <w:rPr>
                      <w:color w:val="auto"/>
                      <w:kern w:val="0"/>
                      <w:sz w:val="18"/>
                      <w:szCs w:val="21"/>
                    </w:rPr>
                  </w:pPr>
                  <w:r>
                    <w:rPr>
                      <w:color w:val="auto"/>
                      <w:kern w:val="0"/>
                      <w:sz w:val="18"/>
                      <w:szCs w:val="21"/>
                    </w:rPr>
                    <w:t>3</w:t>
                  </w:r>
                </w:p>
              </w:tc>
              <w:tc>
                <w:tcPr>
                  <w:tcW w:w="1102" w:type="dxa"/>
                  <w:vAlign w:val="center"/>
                </w:tcPr>
                <w:p w14:paraId="3656184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2FC4FC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Merge w:val="continue"/>
                  <w:vAlign w:val="center"/>
                </w:tcPr>
                <w:p w14:paraId="352CF3AA">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188C8A6A">
                  <w:pPr>
                    <w:widowControl/>
                    <w:autoSpaceDE/>
                    <w:autoSpaceDN/>
                    <w:spacing w:line="240" w:lineRule="auto"/>
                    <w:ind w:firstLine="0" w:firstLineChars="0"/>
                    <w:jc w:val="left"/>
                    <w:rPr>
                      <w:rFonts w:hint="eastAsia" w:cs="宋体"/>
                      <w:color w:val="auto"/>
                      <w:kern w:val="0"/>
                      <w:sz w:val="18"/>
                      <w:szCs w:val="21"/>
                    </w:rPr>
                  </w:pPr>
                </w:p>
              </w:tc>
              <w:tc>
                <w:tcPr>
                  <w:tcW w:w="1134" w:type="dxa"/>
                  <w:vMerge w:val="continue"/>
                  <w:vAlign w:val="center"/>
                </w:tcPr>
                <w:p w14:paraId="62A6CD30">
                  <w:pPr>
                    <w:widowControl/>
                    <w:autoSpaceDE/>
                    <w:autoSpaceDN/>
                    <w:spacing w:line="240" w:lineRule="auto"/>
                    <w:ind w:firstLine="0" w:firstLineChars="0"/>
                    <w:jc w:val="left"/>
                    <w:rPr>
                      <w:rFonts w:hint="eastAsia" w:cs="宋体"/>
                      <w:color w:val="auto"/>
                      <w:kern w:val="0"/>
                      <w:sz w:val="18"/>
                      <w:szCs w:val="21"/>
                    </w:rPr>
                  </w:pPr>
                </w:p>
              </w:tc>
              <w:tc>
                <w:tcPr>
                  <w:tcW w:w="3184" w:type="dxa"/>
                  <w:vAlign w:val="center"/>
                </w:tcPr>
                <w:p w14:paraId="341A8B9F">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彩条旗、硬质围挡等</w:t>
                  </w:r>
                </w:p>
              </w:tc>
              <w:tc>
                <w:tcPr>
                  <w:tcW w:w="1102" w:type="dxa"/>
                  <w:vAlign w:val="center"/>
                </w:tcPr>
                <w:p w14:paraId="796B1CCA">
                  <w:pPr>
                    <w:widowControl/>
                    <w:autoSpaceDE/>
                    <w:autoSpaceDN/>
                    <w:spacing w:line="240" w:lineRule="auto"/>
                    <w:ind w:firstLine="0" w:firstLineChars="0"/>
                    <w:jc w:val="center"/>
                    <w:rPr>
                      <w:color w:val="auto"/>
                      <w:kern w:val="0"/>
                      <w:sz w:val="18"/>
                      <w:szCs w:val="21"/>
                    </w:rPr>
                  </w:pPr>
                  <w:r>
                    <w:rPr>
                      <w:color w:val="auto"/>
                      <w:kern w:val="0"/>
                      <w:sz w:val="18"/>
                      <w:szCs w:val="21"/>
                    </w:rPr>
                    <w:t>30</w:t>
                  </w:r>
                </w:p>
              </w:tc>
              <w:tc>
                <w:tcPr>
                  <w:tcW w:w="1102" w:type="dxa"/>
                  <w:vAlign w:val="center"/>
                </w:tcPr>
                <w:p w14:paraId="1D3C5CE8">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7EF2B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Align w:val="center"/>
                </w:tcPr>
                <w:p w14:paraId="33282FB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6</w:t>
                  </w:r>
                </w:p>
              </w:tc>
              <w:tc>
                <w:tcPr>
                  <w:tcW w:w="1134" w:type="dxa"/>
                  <w:vAlign w:val="center"/>
                </w:tcPr>
                <w:p w14:paraId="27BA9575">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人员培训</w:t>
                  </w:r>
                </w:p>
              </w:tc>
              <w:tc>
                <w:tcPr>
                  <w:tcW w:w="1134" w:type="dxa"/>
                  <w:vAlign w:val="center"/>
                </w:tcPr>
                <w:p w14:paraId="3C048285">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3184" w:type="dxa"/>
                  <w:vAlign w:val="center"/>
                </w:tcPr>
                <w:p w14:paraId="140FFA1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培训工程人员，加强环保意识，宣讲环保规定</w:t>
                  </w:r>
                </w:p>
              </w:tc>
              <w:tc>
                <w:tcPr>
                  <w:tcW w:w="1102" w:type="dxa"/>
                  <w:vAlign w:val="center"/>
                </w:tcPr>
                <w:p w14:paraId="43F9182C">
                  <w:pPr>
                    <w:widowControl/>
                    <w:autoSpaceDE/>
                    <w:autoSpaceDN/>
                    <w:spacing w:line="240" w:lineRule="auto"/>
                    <w:ind w:firstLine="0" w:firstLineChars="0"/>
                    <w:jc w:val="center"/>
                    <w:rPr>
                      <w:color w:val="auto"/>
                      <w:kern w:val="0"/>
                      <w:sz w:val="18"/>
                      <w:szCs w:val="21"/>
                    </w:rPr>
                  </w:pPr>
                  <w:r>
                    <w:rPr>
                      <w:color w:val="auto"/>
                      <w:kern w:val="0"/>
                      <w:sz w:val="18"/>
                      <w:szCs w:val="21"/>
                    </w:rPr>
                    <w:t>2</w:t>
                  </w:r>
                </w:p>
              </w:tc>
              <w:tc>
                <w:tcPr>
                  <w:tcW w:w="1102" w:type="dxa"/>
                  <w:vAlign w:val="center"/>
                </w:tcPr>
                <w:p w14:paraId="46211A1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67BCD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Align w:val="center"/>
                </w:tcPr>
                <w:p w14:paraId="3F694D8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7</w:t>
                  </w:r>
                </w:p>
              </w:tc>
              <w:tc>
                <w:tcPr>
                  <w:tcW w:w="1134" w:type="dxa"/>
                  <w:vAlign w:val="center"/>
                </w:tcPr>
                <w:p w14:paraId="45CF1A3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环境监理</w:t>
                  </w:r>
                </w:p>
              </w:tc>
              <w:tc>
                <w:tcPr>
                  <w:tcW w:w="1134" w:type="dxa"/>
                  <w:vAlign w:val="center"/>
                </w:tcPr>
                <w:p w14:paraId="352D8D58">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3184" w:type="dxa"/>
                  <w:vAlign w:val="center"/>
                </w:tcPr>
                <w:p w14:paraId="2F9428E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施工期环境监理</w:t>
                  </w:r>
                </w:p>
              </w:tc>
              <w:tc>
                <w:tcPr>
                  <w:tcW w:w="1102" w:type="dxa"/>
                  <w:vAlign w:val="center"/>
                </w:tcPr>
                <w:p w14:paraId="61F13D9E">
                  <w:pPr>
                    <w:widowControl/>
                    <w:autoSpaceDE/>
                    <w:autoSpaceDN/>
                    <w:spacing w:line="240" w:lineRule="auto"/>
                    <w:ind w:firstLine="0" w:firstLineChars="0"/>
                    <w:jc w:val="center"/>
                    <w:rPr>
                      <w:color w:val="auto"/>
                      <w:kern w:val="0"/>
                      <w:sz w:val="18"/>
                      <w:szCs w:val="21"/>
                    </w:rPr>
                  </w:pPr>
                  <w:r>
                    <w:rPr>
                      <w:color w:val="auto"/>
                      <w:kern w:val="0"/>
                      <w:sz w:val="18"/>
                      <w:szCs w:val="21"/>
                    </w:rPr>
                    <w:t>10</w:t>
                  </w:r>
                </w:p>
              </w:tc>
              <w:tc>
                <w:tcPr>
                  <w:tcW w:w="1102" w:type="dxa"/>
                  <w:vAlign w:val="center"/>
                </w:tcPr>
                <w:p w14:paraId="7ED5B63A">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3A886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Align w:val="center"/>
                </w:tcPr>
                <w:p w14:paraId="533D0D2C">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8</w:t>
                  </w:r>
                </w:p>
              </w:tc>
              <w:tc>
                <w:tcPr>
                  <w:tcW w:w="1134" w:type="dxa"/>
                  <w:vAlign w:val="center"/>
                </w:tcPr>
                <w:p w14:paraId="682F24C1">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环境监测</w:t>
                  </w:r>
                </w:p>
              </w:tc>
              <w:tc>
                <w:tcPr>
                  <w:tcW w:w="1134" w:type="dxa"/>
                  <w:vAlign w:val="center"/>
                </w:tcPr>
                <w:p w14:paraId="73A1DCCC">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3184" w:type="dxa"/>
                  <w:vAlign w:val="center"/>
                </w:tcPr>
                <w:p w14:paraId="23A0726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施工期周边</w:t>
                  </w:r>
                  <w:r>
                    <w:rPr>
                      <w:color w:val="auto"/>
                      <w:kern w:val="0"/>
                      <w:sz w:val="18"/>
                      <w:szCs w:val="21"/>
                    </w:rPr>
                    <w:t>TSP</w:t>
                  </w:r>
                  <w:r>
                    <w:rPr>
                      <w:rFonts w:hint="eastAsia" w:cs="宋体"/>
                      <w:color w:val="auto"/>
                      <w:kern w:val="0"/>
                      <w:sz w:val="18"/>
                      <w:szCs w:val="21"/>
                    </w:rPr>
                    <w:t>、噪声监测</w:t>
                  </w:r>
                </w:p>
              </w:tc>
              <w:tc>
                <w:tcPr>
                  <w:tcW w:w="1102" w:type="dxa"/>
                  <w:vAlign w:val="center"/>
                </w:tcPr>
                <w:p w14:paraId="5D51894C">
                  <w:pPr>
                    <w:widowControl/>
                    <w:autoSpaceDE/>
                    <w:autoSpaceDN/>
                    <w:spacing w:line="240" w:lineRule="auto"/>
                    <w:ind w:firstLine="0" w:firstLineChars="0"/>
                    <w:jc w:val="center"/>
                    <w:rPr>
                      <w:rFonts w:hint="eastAsia" w:eastAsia="宋体"/>
                      <w:color w:val="auto"/>
                      <w:kern w:val="0"/>
                      <w:sz w:val="18"/>
                      <w:szCs w:val="21"/>
                      <w:lang w:eastAsia="zh-CN"/>
                    </w:rPr>
                  </w:pPr>
                  <w:r>
                    <w:rPr>
                      <w:rFonts w:hint="eastAsia"/>
                      <w:color w:val="auto"/>
                      <w:kern w:val="0"/>
                      <w:sz w:val="18"/>
                      <w:szCs w:val="21"/>
                      <w:lang w:val="en-US" w:eastAsia="zh-CN"/>
                    </w:rPr>
                    <w:t>5</w:t>
                  </w:r>
                </w:p>
              </w:tc>
              <w:tc>
                <w:tcPr>
                  <w:tcW w:w="1102" w:type="dxa"/>
                  <w:vAlign w:val="center"/>
                </w:tcPr>
                <w:p w14:paraId="1C0D0513">
                  <w:pPr>
                    <w:widowControl/>
                    <w:autoSpaceDE/>
                    <w:autoSpaceDN/>
                    <w:spacing w:line="240" w:lineRule="auto"/>
                    <w:ind w:firstLine="0" w:firstLineChars="0"/>
                    <w:jc w:val="center"/>
                    <w:rPr>
                      <w:color w:val="auto"/>
                      <w:kern w:val="0"/>
                      <w:sz w:val="18"/>
                      <w:szCs w:val="21"/>
                    </w:rPr>
                  </w:pPr>
                </w:p>
              </w:tc>
            </w:tr>
            <w:tr w14:paraId="163F2B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Align w:val="center"/>
                </w:tcPr>
                <w:p w14:paraId="1D47DA58">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9</w:t>
                  </w:r>
                </w:p>
              </w:tc>
              <w:tc>
                <w:tcPr>
                  <w:tcW w:w="1134" w:type="dxa"/>
                  <w:vAlign w:val="center"/>
                </w:tcPr>
                <w:p w14:paraId="689016F1">
                  <w:pPr>
                    <w:widowControl/>
                    <w:autoSpaceDE/>
                    <w:autoSpaceDN/>
                    <w:spacing w:line="240" w:lineRule="auto"/>
                    <w:ind w:firstLine="0" w:firstLineChars="0"/>
                    <w:jc w:val="center"/>
                    <w:rPr>
                      <w:rFonts w:hint="default" w:eastAsia="宋体" w:cs="宋体"/>
                      <w:color w:val="auto"/>
                      <w:kern w:val="0"/>
                      <w:sz w:val="18"/>
                      <w:szCs w:val="21"/>
                      <w:lang w:val="en-US" w:eastAsia="zh-CN"/>
                    </w:rPr>
                  </w:pPr>
                  <w:r>
                    <w:rPr>
                      <w:rFonts w:hint="eastAsia" w:cs="宋体"/>
                      <w:color w:val="auto"/>
                      <w:kern w:val="0"/>
                      <w:sz w:val="18"/>
                      <w:szCs w:val="21"/>
                    </w:rPr>
                    <w:t>竣工环保验收</w:t>
                  </w:r>
                  <w:r>
                    <w:rPr>
                      <w:rFonts w:hint="eastAsia" w:cs="宋体"/>
                      <w:color w:val="auto"/>
                      <w:kern w:val="0"/>
                      <w:sz w:val="18"/>
                      <w:szCs w:val="21"/>
                      <w:lang w:eastAsia="zh-CN"/>
                    </w:rPr>
                    <w:t>、</w:t>
                  </w:r>
                  <w:r>
                    <w:rPr>
                      <w:rFonts w:hint="eastAsia" w:cs="宋体"/>
                      <w:color w:val="auto"/>
                      <w:kern w:val="0"/>
                      <w:sz w:val="18"/>
                      <w:szCs w:val="21"/>
                      <w:lang w:val="en-US" w:eastAsia="zh-CN"/>
                    </w:rPr>
                    <w:t>环评文件</w:t>
                  </w:r>
                </w:p>
              </w:tc>
              <w:tc>
                <w:tcPr>
                  <w:tcW w:w="1134" w:type="dxa"/>
                  <w:vAlign w:val="center"/>
                </w:tcPr>
                <w:p w14:paraId="7ACD057F">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3184" w:type="dxa"/>
                  <w:vAlign w:val="center"/>
                </w:tcPr>
                <w:p w14:paraId="2658D332">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环保工程竣工验收</w:t>
                  </w:r>
                </w:p>
              </w:tc>
              <w:tc>
                <w:tcPr>
                  <w:tcW w:w="1102" w:type="dxa"/>
                  <w:vAlign w:val="center"/>
                </w:tcPr>
                <w:p w14:paraId="38AAFAF5">
                  <w:pPr>
                    <w:widowControl/>
                    <w:autoSpaceDE/>
                    <w:autoSpaceDN/>
                    <w:spacing w:line="240" w:lineRule="auto"/>
                    <w:ind w:firstLine="0" w:firstLineChars="0"/>
                    <w:jc w:val="center"/>
                    <w:rPr>
                      <w:rFonts w:hint="default" w:eastAsia="宋体"/>
                      <w:color w:val="auto"/>
                      <w:kern w:val="0"/>
                      <w:sz w:val="18"/>
                      <w:szCs w:val="21"/>
                      <w:lang w:val="en-US" w:eastAsia="zh-CN"/>
                    </w:rPr>
                  </w:pPr>
                  <w:r>
                    <w:rPr>
                      <w:rFonts w:hint="eastAsia"/>
                      <w:color w:val="auto"/>
                      <w:kern w:val="0"/>
                      <w:sz w:val="18"/>
                      <w:szCs w:val="21"/>
                      <w:lang w:val="en-US" w:eastAsia="zh-CN"/>
                    </w:rPr>
                    <w:t>18</w:t>
                  </w:r>
                </w:p>
              </w:tc>
              <w:tc>
                <w:tcPr>
                  <w:tcW w:w="1102" w:type="dxa"/>
                  <w:vAlign w:val="center"/>
                </w:tcPr>
                <w:p w14:paraId="126A6206">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　</w:t>
                  </w:r>
                </w:p>
              </w:tc>
            </w:tr>
            <w:tr w14:paraId="3F790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5" w:type="dxa"/>
                  <w:vAlign w:val="center"/>
                </w:tcPr>
                <w:p w14:paraId="107713AC">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10</w:t>
                  </w:r>
                </w:p>
              </w:tc>
              <w:tc>
                <w:tcPr>
                  <w:tcW w:w="1134" w:type="dxa"/>
                  <w:vAlign w:val="center"/>
                </w:tcPr>
                <w:p w14:paraId="433A7797">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预备费</w:t>
                  </w:r>
                </w:p>
              </w:tc>
              <w:tc>
                <w:tcPr>
                  <w:tcW w:w="1134" w:type="dxa"/>
                  <w:vAlign w:val="center"/>
                </w:tcPr>
                <w:p w14:paraId="350AA7FC">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w:t>
                  </w:r>
                </w:p>
              </w:tc>
              <w:tc>
                <w:tcPr>
                  <w:tcW w:w="3184" w:type="dxa"/>
                  <w:vAlign w:val="center"/>
                </w:tcPr>
                <w:p w14:paraId="74DB3700">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w:t>
                  </w:r>
                </w:p>
              </w:tc>
              <w:tc>
                <w:tcPr>
                  <w:tcW w:w="1102" w:type="dxa"/>
                  <w:vAlign w:val="center"/>
                </w:tcPr>
                <w:p w14:paraId="18D9EDA5">
                  <w:pPr>
                    <w:widowControl/>
                    <w:autoSpaceDE/>
                    <w:autoSpaceDN/>
                    <w:spacing w:line="240" w:lineRule="auto"/>
                    <w:ind w:firstLine="0" w:firstLineChars="0"/>
                    <w:jc w:val="center"/>
                    <w:rPr>
                      <w:color w:val="auto"/>
                      <w:kern w:val="0"/>
                      <w:sz w:val="18"/>
                      <w:szCs w:val="21"/>
                    </w:rPr>
                  </w:pPr>
                  <w:r>
                    <w:rPr>
                      <w:color w:val="auto"/>
                      <w:kern w:val="0"/>
                      <w:sz w:val="18"/>
                      <w:szCs w:val="21"/>
                    </w:rPr>
                    <w:t>2.58</w:t>
                  </w:r>
                </w:p>
              </w:tc>
              <w:tc>
                <w:tcPr>
                  <w:tcW w:w="1102" w:type="dxa"/>
                  <w:vAlign w:val="center"/>
                </w:tcPr>
                <w:p w14:paraId="7B7E831E">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以上合计的2%</w:t>
                  </w:r>
                </w:p>
              </w:tc>
            </w:tr>
            <w:tr w14:paraId="09670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19" w:type="dxa"/>
                  <w:gridSpan w:val="2"/>
                  <w:vAlign w:val="center"/>
                </w:tcPr>
                <w:p w14:paraId="2223E2D9">
                  <w:pPr>
                    <w:widowControl/>
                    <w:autoSpaceDE/>
                    <w:autoSpaceDN/>
                    <w:spacing w:line="240" w:lineRule="auto"/>
                    <w:ind w:firstLine="0" w:firstLineChars="0"/>
                    <w:jc w:val="center"/>
                    <w:rPr>
                      <w:rFonts w:hint="eastAsia" w:cs="宋体"/>
                      <w:color w:val="auto"/>
                      <w:kern w:val="0"/>
                      <w:sz w:val="18"/>
                      <w:szCs w:val="21"/>
                    </w:rPr>
                  </w:pPr>
                  <w:r>
                    <w:rPr>
                      <w:rFonts w:hint="eastAsia" w:cs="宋体"/>
                      <w:color w:val="auto"/>
                      <w:kern w:val="0"/>
                      <w:sz w:val="18"/>
                      <w:szCs w:val="21"/>
                    </w:rPr>
                    <w:t>合计</w:t>
                  </w:r>
                </w:p>
              </w:tc>
              <w:tc>
                <w:tcPr>
                  <w:tcW w:w="1134" w:type="dxa"/>
                  <w:vAlign w:val="center"/>
                </w:tcPr>
                <w:p w14:paraId="55C26A82">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3184" w:type="dxa"/>
                  <w:vAlign w:val="center"/>
                </w:tcPr>
                <w:p w14:paraId="1E7CE89A">
                  <w:pPr>
                    <w:widowControl/>
                    <w:autoSpaceDE/>
                    <w:autoSpaceDN/>
                    <w:spacing w:line="240" w:lineRule="auto"/>
                    <w:ind w:firstLine="0" w:firstLineChars="0"/>
                    <w:jc w:val="center"/>
                    <w:rPr>
                      <w:color w:val="auto"/>
                      <w:kern w:val="0"/>
                      <w:sz w:val="18"/>
                      <w:szCs w:val="21"/>
                    </w:rPr>
                  </w:pPr>
                  <w:r>
                    <w:rPr>
                      <w:color w:val="auto"/>
                      <w:kern w:val="0"/>
                      <w:sz w:val="18"/>
                      <w:szCs w:val="21"/>
                    </w:rPr>
                    <w:t>/</w:t>
                  </w:r>
                </w:p>
              </w:tc>
              <w:tc>
                <w:tcPr>
                  <w:tcW w:w="1102" w:type="dxa"/>
                  <w:vAlign w:val="center"/>
                </w:tcPr>
                <w:p w14:paraId="38F41A96">
                  <w:pPr>
                    <w:widowControl/>
                    <w:autoSpaceDE/>
                    <w:autoSpaceDN/>
                    <w:spacing w:line="240" w:lineRule="auto"/>
                    <w:ind w:firstLine="0" w:firstLineChars="0"/>
                    <w:jc w:val="center"/>
                    <w:rPr>
                      <w:color w:val="auto"/>
                      <w:kern w:val="0"/>
                      <w:sz w:val="18"/>
                      <w:szCs w:val="21"/>
                    </w:rPr>
                  </w:pPr>
                  <w:r>
                    <w:rPr>
                      <w:color w:val="auto"/>
                      <w:kern w:val="0"/>
                      <w:sz w:val="18"/>
                      <w:szCs w:val="21"/>
                    </w:rPr>
                    <w:t>131.58</w:t>
                  </w:r>
                </w:p>
              </w:tc>
              <w:tc>
                <w:tcPr>
                  <w:tcW w:w="1102" w:type="dxa"/>
                  <w:vAlign w:val="center"/>
                </w:tcPr>
                <w:p w14:paraId="07ACC0A4">
                  <w:pPr>
                    <w:widowControl/>
                    <w:autoSpaceDE/>
                    <w:autoSpaceDN/>
                    <w:spacing w:line="240" w:lineRule="auto"/>
                    <w:ind w:firstLine="0" w:firstLineChars="0"/>
                    <w:jc w:val="center"/>
                    <w:rPr>
                      <w:color w:val="auto"/>
                      <w:kern w:val="0"/>
                      <w:sz w:val="18"/>
                      <w:szCs w:val="21"/>
                    </w:rPr>
                  </w:pPr>
                  <w:r>
                    <w:rPr>
                      <w:rFonts w:hint="eastAsia"/>
                      <w:color w:val="auto"/>
                      <w:kern w:val="0"/>
                      <w:sz w:val="18"/>
                      <w:szCs w:val="21"/>
                    </w:rPr>
                    <w:t>　</w:t>
                  </w:r>
                </w:p>
              </w:tc>
            </w:tr>
          </w:tbl>
          <w:p w14:paraId="379392C0">
            <w:pPr>
              <w:pStyle w:val="17"/>
              <w:rPr>
                <w:rFonts w:hint="default"/>
                <w:color w:val="auto"/>
              </w:rPr>
            </w:pPr>
          </w:p>
          <w:p w14:paraId="29684E2E">
            <w:pPr>
              <w:adjustRightInd w:val="0"/>
              <w:snapToGrid w:val="0"/>
              <w:ind w:firstLine="480"/>
              <w:rPr>
                <w:color w:val="auto"/>
                <w:kern w:val="0"/>
              </w:rPr>
            </w:pPr>
          </w:p>
        </w:tc>
      </w:tr>
    </w:tbl>
    <w:p w14:paraId="165652E3">
      <w:pPr>
        <w:ind w:firstLine="480"/>
        <w:rPr>
          <w:color w:val="auto"/>
        </w:rPr>
        <w:sectPr>
          <w:pgSz w:w="11907" w:h="16840"/>
          <w:pgMar w:top="1440" w:right="1797" w:bottom="1440" w:left="1797" w:header="851" w:footer="1077" w:gutter="0"/>
          <w:cols w:space="720" w:num="1"/>
          <w:docGrid w:linePitch="312" w:charSpace="0"/>
        </w:sectPr>
      </w:pPr>
    </w:p>
    <w:p w14:paraId="08B69B32">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六、生态环境保护措施监督检查清单</w:t>
      </w:r>
    </w:p>
    <w:tbl>
      <w:tblPr>
        <w:tblStyle w:val="1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861"/>
        <w:gridCol w:w="2316"/>
        <w:gridCol w:w="1652"/>
        <w:gridCol w:w="1193"/>
      </w:tblGrid>
      <w:tr w14:paraId="4424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Merge w:val="restart"/>
            <w:tcBorders>
              <w:tl2br w:val="single" w:color="auto" w:sz="4" w:space="0"/>
            </w:tcBorders>
          </w:tcPr>
          <w:p w14:paraId="3D8FE540">
            <w:pPr>
              <w:adjustRightInd w:val="0"/>
              <w:snapToGrid w:val="0"/>
              <w:spacing w:line="240" w:lineRule="auto"/>
              <w:ind w:firstLine="0" w:firstLineChars="0"/>
              <w:jc w:val="right"/>
              <w:rPr>
                <w:rFonts w:eastAsia="黑体"/>
                <w:color w:val="auto"/>
              </w:rPr>
            </w:pPr>
            <w:r>
              <w:rPr>
                <w:rFonts w:eastAsia="黑体"/>
                <w:color w:val="auto"/>
              </w:rPr>
              <w:t>内容</w:t>
            </w:r>
          </w:p>
          <w:p w14:paraId="545AA1A3">
            <w:pPr>
              <w:adjustRightInd w:val="0"/>
              <w:snapToGrid w:val="0"/>
              <w:spacing w:line="240" w:lineRule="auto"/>
              <w:ind w:firstLine="0" w:firstLineChars="0"/>
              <w:jc w:val="center"/>
              <w:rPr>
                <w:rFonts w:eastAsia="黑体"/>
                <w:color w:val="auto"/>
              </w:rPr>
            </w:pPr>
          </w:p>
          <w:p w14:paraId="47519F80">
            <w:pPr>
              <w:adjustRightInd w:val="0"/>
              <w:snapToGrid w:val="0"/>
              <w:spacing w:line="240" w:lineRule="auto"/>
              <w:ind w:firstLine="0" w:firstLineChars="0"/>
              <w:jc w:val="center"/>
              <w:rPr>
                <w:rFonts w:eastAsia="黑体"/>
                <w:color w:val="auto"/>
              </w:rPr>
            </w:pPr>
          </w:p>
          <w:p w14:paraId="33F7DECE">
            <w:pPr>
              <w:adjustRightInd w:val="0"/>
              <w:snapToGrid w:val="0"/>
              <w:spacing w:line="240" w:lineRule="auto"/>
              <w:ind w:firstLine="0" w:firstLineChars="0"/>
              <w:jc w:val="left"/>
              <w:rPr>
                <w:rFonts w:eastAsia="黑体"/>
                <w:color w:val="auto"/>
              </w:rPr>
            </w:pPr>
            <w:r>
              <w:rPr>
                <w:rFonts w:eastAsia="黑体"/>
                <w:color w:val="auto"/>
              </w:rPr>
              <w:t>要素</w:t>
            </w:r>
          </w:p>
        </w:tc>
        <w:tc>
          <w:tcPr>
            <w:tcW w:w="2383" w:type="pct"/>
            <w:gridSpan w:val="2"/>
            <w:vAlign w:val="center"/>
          </w:tcPr>
          <w:p w14:paraId="472B5097">
            <w:pPr>
              <w:adjustRightInd w:val="0"/>
              <w:snapToGrid w:val="0"/>
              <w:spacing w:line="240" w:lineRule="auto"/>
              <w:ind w:firstLine="0" w:firstLineChars="0"/>
              <w:jc w:val="center"/>
              <w:rPr>
                <w:rFonts w:eastAsia="黑体"/>
                <w:color w:val="auto"/>
              </w:rPr>
            </w:pPr>
            <w:r>
              <w:rPr>
                <w:rFonts w:eastAsia="黑体"/>
                <w:color w:val="auto"/>
              </w:rPr>
              <w:t>施工期</w:t>
            </w:r>
          </w:p>
        </w:tc>
        <w:tc>
          <w:tcPr>
            <w:tcW w:w="1713" w:type="pct"/>
            <w:gridSpan w:val="2"/>
            <w:vAlign w:val="center"/>
          </w:tcPr>
          <w:p w14:paraId="63BF7CD5">
            <w:pPr>
              <w:adjustRightInd w:val="0"/>
              <w:snapToGrid w:val="0"/>
              <w:spacing w:line="240" w:lineRule="auto"/>
              <w:ind w:firstLine="0" w:firstLineChars="0"/>
              <w:jc w:val="center"/>
              <w:rPr>
                <w:rFonts w:eastAsia="黑体"/>
                <w:color w:val="auto"/>
              </w:rPr>
            </w:pPr>
            <w:r>
              <w:rPr>
                <w:rFonts w:eastAsia="黑体"/>
                <w:color w:val="auto"/>
              </w:rPr>
              <w:t>运营期</w:t>
            </w:r>
          </w:p>
        </w:tc>
      </w:tr>
      <w:tr w14:paraId="411F85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Merge w:val="continue"/>
          </w:tcPr>
          <w:p w14:paraId="548956DC">
            <w:pPr>
              <w:adjustRightInd w:val="0"/>
              <w:snapToGrid w:val="0"/>
              <w:spacing w:line="240" w:lineRule="auto"/>
              <w:ind w:firstLine="0" w:firstLineChars="0"/>
              <w:jc w:val="center"/>
              <w:rPr>
                <w:rFonts w:eastAsia="黑体"/>
                <w:color w:val="auto"/>
              </w:rPr>
            </w:pPr>
          </w:p>
        </w:tc>
        <w:tc>
          <w:tcPr>
            <w:tcW w:w="1114" w:type="pct"/>
            <w:vAlign w:val="center"/>
          </w:tcPr>
          <w:p w14:paraId="33D60B91">
            <w:pPr>
              <w:adjustRightInd w:val="0"/>
              <w:snapToGrid w:val="0"/>
              <w:spacing w:line="240" w:lineRule="auto"/>
              <w:ind w:firstLine="0" w:firstLineChars="0"/>
              <w:jc w:val="center"/>
              <w:rPr>
                <w:rFonts w:eastAsia="黑体"/>
                <w:color w:val="auto"/>
              </w:rPr>
            </w:pPr>
            <w:r>
              <w:rPr>
                <w:rFonts w:eastAsia="黑体"/>
                <w:color w:val="auto"/>
              </w:rPr>
              <w:t>环境保护措施</w:t>
            </w:r>
          </w:p>
        </w:tc>
        <w:tc>
          <w:tcPr>
            <w:tcW w:w="1269" w:type="pct"/>
            <w:vAlign w:val="center"/>
          </w:tcPr>
          <w:p w14:paraId="358684C1">
            <w:pPr>
              <w:adjustRightInd w:val="0"/>
              <w:snapToGrid w:val="0"/>
              <w:spacing w:line="240" w:lineRule="auto"/>
              <w:ind w:firstLine="0" w:firstLineChars="0"/>
              <w:jc w:val="center"/>
              <w:rPr>
                <w:rFonts w:eastAsia="黑体"/>
                <w:color w:val="auto"/>
              </w:rPr>
            </w:pPr>
            <w:r>
              <w:rPr>
                <w:rFonts w:eastAsia="黑体"/>
                <w:color w:val="auto"/>
              </w:rPr>
              <w:t>验收要求</w:t>
            </w:r>
          </w:p>
        </w:tc>
        <w:tc>
          <w:tcPr>
            <w:tcW w:w="991" w:type="pct"/>
            <w:vAlign w:val="center"/>
          </w:tcPr>
          <w:p w14:paraId="049FBA1B">
            <w:pPr>
              <w:adjustRightInd w:val="0"/>
              <w:snapToGrid w:val="0"/>
              <w:spacing w:line="240" w:lineRule="auto"/>
              <w:ind w:firstLine="0" w:firstLineChars="0"/>
              <w:jc w:val="center"/>
              <w:rPr>
                <w:rFonts w:eastAsia="黑体"/>
                <w:color w:val="auto"/>
              </w:rPr>
            </w:pPr>
            <w:r>
              <w:rPr>
                <w:rFonts w:eastAsia="黑体"/>
                <w:color w:val="auto"/>
              </w:rPr>
              <w:t>环境保护措施</w:t>
            </w:r>
          </w:p>
        </w:tc>
        <w:tc>
          <w:tcPr>
            <w:tcW w:w="722" w:type="pct"/>
            <w:vAlign w:val="center"/>
          </w:tcPr>
          <w:p w14:paraId="7EB3570D">
            <w:pPr>
              <w:adjustRightInd w:val="0"/>
              <w:snapToGrid w:val="0"/>
              <w:spacing w:line="240" w:lineRule="auto"/>
              <w:ind w:firstLine="0" w:firstLineChars="0"/>
              <w:jc w:val="center"/>
              <w:rPr>
                <w:rFonts w:eastAsia="黑体"/>
                <w:color w:val="auto"/>
              </w:rPr>
            </w:pPr>
            <w:r>
              <w:rPr>
                <w:rFonts w:eastAsia="黑体"/>
                <w:color w:val="auto"/>
              </w:rPr>
              <w:t>验收要求</w:t>
            </w:r>
          </w:p>
        </w:tc>
      </w:tr>
      <w:tr w14:paraId="4CF145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71471DD8">
            <w:pPr>
              <w:pStyle w:val="16"/>
              <w:rPr>
                <w:color w:val="auto"/>
                <w:szCs w:val="24"/>
              </w:rPr>
            </w:pPr>
            <w:r>
              <w:rPr>
                <w:color w:val="auto"/>
              </w:rPr>
              <w:t>陆生生态</w:t>
            </w:r>
          </w:p>
        </w:tc>
        <w:tc>
          <w:tcPr>
            <w:tcW w:w="1114" w:type="pct"/>
            <w:vAlign w:val="center"/>
          </w:tcPr>
          <w:p w14:paraId="107AEAC2">
            <w:pPr>
              <w:pStyle w:val="16"/>
              <w:rPr>
                <w:color w:val="auto"/>
              </w:rPr>
            </w:pPr>
            <w:r>
              <w:rPr>
                <w:rFonts w:hint="eastAsia"/>
                <w:color w:val="auto"/>
              </w:rPr>
              <w:t>1、优化施工布置，尽可能利用既有道路等，减少施工占地。</w:t>
            </w:r>
          </w:p>
          <w:p w14:paraId="1868A4F1">
            <w:pPr>
              <w:pStyle w:val="16"/>
              <w:rPr>
                <w:color w:val="auto"/>
              </w:rPr>
            </w:pPr>
            <w:r>
              <w:rPr>
                <w:rFonts w:hint="eastAsia"/>
                <w:color w:val="auto"/>
              </w:rPr>
              <w:t>2、使用彩条旗或围档对施工场地进行限界，防止超范围施工。</w:t>
            </w:r>
          </w:p>
          <w:p w14:paraId="4BAD4EC2">
            <w:pPr>
              <w:pStyle w:val="16"/>
              <w:rPr>
                <w:color w:val="auto"/>
              </w:rPr>
            </w:pPr>
            <w:r>
              <w:rPr>
                <w:rFonts w:hint="eastAsia"/>
                <w:color w:val="auto"/>
              </w:rPr>
              <w:t>3、严格按照水土保护方案进行表土剥离、土石方开挖等，进行苫盖、设置截排水沟等水土流失防治措施。</w:t>
            </w:r>
          </w:p>
          <w:p w14:paraId="5050D982">
            <w:pPr>
              <w:pStyle w:val="16"/>
              <w:rPr>
                <w:color w:val="auto"/>
                <w:szCs w:val="24"/>
              </w:rPr>
            </w:pPr>
            <w:r>
              <w:rPr>
                <w:rFonts w:hint="eastAsia"/>
                <w:color w:val="auto"/>
              </w:rPr>
              <w:t>4、施工结束后进行表土回覆和植被恢复。</w:t>
            </w:r>
          </w:p>
        </w:tc>
        <w:tc>
          <w:tcPr>
            <w:tcW w:w="1269" w:type="pct"/>
            <w:vAlign w:val="center"/>
          </w:tcPr>
          <w:p w14:paraId="48B53BC0">
            <w:pPr>
              <w:pStyle w:val="16"/>
              <w:rPr>
                <w:color w:val="auto"/>
                <w:szCs w:val="24"/>
              </w:rPr>
            </w:pPr>
            <w:r>
              <w:rPr>
                <w:color w:val="auto"/>
              </w:rPr>
              <w:t>临时占地区植被恢复完成，无施工造成的裸露地块</w:t>
            </w:r>
          </w:p>
        </w:tc>
        <w:tc>
          <w:tcPr>
            <w:tcW w:w="991" w:type="pct"/>
            <w:vAlign w:val="center"/>
          </w:tcPr>
          <w:p w14:paraId="6BC20153">
            <w:pPr>
              <w:pStyle w:val="16"/>
              <w:rPr>
                <w:color w:val="auto"/>
                <w:szCs w:val="24"/>
              </w:rPr>
            </w:pPr>
            <w:r>
              <w:rPr>
                <w:color w:val="auto"/>
              </w:rPr>
              <w:t>/</w:t>
            </w:r>
          </w:p>
        </w:tc>
        <w:tc>
          <w:tcPr>
            <w:tcW w:w="722" w:type="pct"/>
            <w:vAlign w:val="center"/>
          </w:tcPr>
          <w:p w14:paraId="0CB9BF6C">
            <w:pPr>
              <w:pStyle w:val="16"/>
              <w:rPr>
                <w:color w:val="auto"/>
                <w:szCs w:val="24"/>
              </w:rPr>
            </w:pPr>
            <w:r>
              <w:rPr>
                <w:color w:val="auto"/>
              </w:rPr>
              <w:t>/</w:t>
            </w:r>
          </w:p>
        </w:tc>
      </w:tr>
      <w:tr w14:paraId="6DBE3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5F11E887">
            <w:pPr>
              <w:pStyle w:val="16"/>
              <w:rPr>
                <w:color w:val="auto"/>
                <w:szCs w:val="24"/>
              </w:rPr>
            </w:pPr>
            <w:r>
              <w:rPr>
                <w:color w:val="auto"/>
              </w:rPr>
              <w:t>水生生态</w:t>
            </w:r>
          </w:p>
        </w:tc>
        <w:tc>
          <w:tcPr>
            <w:tcW w:w="1114" w:type="pct"/>
            <w:vAlign w:val="center"/>
          </w:tcPr>
          <w:p w14:paraId="4D127A8E">
            <w:pPr>
              <w:pStyle w:val="16"/>
              <w:rPr>
                <w:color w:val="auto"/>
                <w:szCs w:val="24"/>
              </w:rPr>
            </w:pPr>
            <w:r>
              <w:rPr>
                <w:color w:val="auto"/>
              </w:rPr>
              <w:t>/</w:t>
            </w:r>
          </w:p>
        </w:tc>
        <w:tc>
          <w:tcPr>
            <w:tcW w:w="1269" w:type="pct"/>
            <w:vAlign w:val="center"/>
          </w:tcPr>
          <w:p w14:paraId="58F4688F">
            <w:pPr>
              <w:pStyle w:val="16"/>
              <w:rPr>
                <w:color w:val="auto"/>
                <w:szCs w:val="24"/>
              </w:rPr>
            </w:pPr>
            <w:r>
              <w:rPr>
                <w:color w:val="auto"/>
              </w:rPr>
              <w:t>/</w:t>
            </w:r>
          </w:p>
        </w:tc>
        <w:tc>
          <w:tcPr>
            <w:tcW w:w="991" w:type="pct"/>
            <w:vAlign w:val="center"/>
          </w:tcPr>
          <w:p w14:paraId="335C2106">
            <w:pPr>
              <w:pStyle w:val="16"/>
              <w:rPr>
                <w:color w:val="auto"/>
                <w:szCs w:val="24"/>
              </w:rPr>
            </w:pPr>
            <w:r>
              <w:rPr>
                <w:color w:val="auto"/>
              </w:rPr>
              <w:t>/</w:t>
            </w:r>
          </w:p>
        </w:tc>
        <w:tc>
          <w:tcPr>
            <w:tcW w:w="722" w:type="pct"/>
            <w:vAlign w:val="center"/>
          </w:tcPr>
          <w:p w14:paraId="706BAC4F">
            <w:pPr>
              <w:pStyle w:val="16"/>
              <w:rPr>
                <w:color w:val="auto"/>
                <w:szCs w:val="24"/>
              </w:rPr>
            </w:pPr>
            <w:r>
              <w:rPr>
                <w:color w:val="auto"/>
              </w:rPr>
              <w:t>/</w:t>
            </w:r>
          </w:p>
        </w:tc>
      </w:tr>
      <w:tr w14:paraId="0DFAB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355D6942">
            <w:pPr>
              <w:pStyle w:val="16"/>
              <w:rPr>
                <w:color w:val="auto"/>
                <w:szCs w:val="24"/>
              </w:rPr>
            </w:pPr>
            <w:r>
              <w:rPr>
                <w:color w:val="auto"/>
              </w:rPr>
              <w:t>地表水环境</w:t>
            </w:r>
          </w:p>
        </w:tc>
        <w:tc>
          <w:tcPr>
            <w:tcW w:w="1114" w:type="pct"/>
            <w:vAlign w:val="center"/>
          </w:tcPr>
          <w:p w14:paraId="5B9BD76D">
            <w:pPr>
              <w:pStyle w:val="16"/>
              <w:rPr>
                <w:color w:val="auto"/>
                <w:szCs w:val="24"/>
              </w:rPr>
            </w:pPr>
            <w:r>
              <w:rPr>
                <w:color w:val="auto"/>
              </w:rPr>
              <w:t>生活污水通过租用民房既有的生活污水处理设施收集处理后用作于附近农林地肥用，不外排；设置隔油沉淀池，</w:t>
            </w:r>
            <w:r>
              <w:rPr>
                <w:rFonts w:hint="eastAsia"/>
                <w:color w:val="auto"/>
              </w:rPr>
              <w:t>机械</w:t>
            </w:r>
            <w:r>
              <w:rPr>
                <w:color w:val="auto"/>
              </w:rPr>
              <w:t>车辆冲洗废水经隔油沉淀后回用于施工区洒水降尘</w:t>
            </w:r>
            <w:r>
              <w:rPr>
                <w:rFonts w:hint="eastAsia"/>
                <w:color w:val="auto"/>
              </w:rPr>
              <w:t>；混凝土拌合废水经收集处理后</w:t>
            </w:r>
            <w:r>
              <w:rPr>
                <w:color w:val="auto"/>
              </w:rPr>
              <w:t>回用于施工区洒水降尘</w:t>
            </w:r>
            <w:r>
              <w:rPr>
                <w:rFonts w:hint="eastAsia"/>
                <w:color w:val="auto"/>
              </w:rPr>
              <w:t>等。</w:t>
            </w:r>
          </w:p>
        </w:tc>
        <w:tc>
          <w:tcPr>
            <w:tcW w:w="1269" w:type="pct"/>
            <w:vAlign w:val="center"/>
          </w:tcPr>
          <w:p w14:paraId="04A45142">
            <w:pPr>
              <w:pStyle w:val="16"/>
              <w:rPr>
                <w:color w:val="auto"/>
                <w:szCs w:val="24"/>
              </w:rPr>
            </w:pPr>
            <w:r>
              <w:rPr>
                <w:color w:val="auto"/>
              </w:rPr>
              <w:t>施工期</w:t>
            </w:r>
            <w:r>
              <w:rPr>
                <w:rFonts w:hint="eastAsia"/>
                <w:color w:val="auto"/>
              </w:rPr>
              <w:t>污水</w:t>
            </w:r>
            <w:r>
              <w:rPr>
                <w:color w:val="auto"/>
              </w:rPr>
              <w:t>、废水得到妥善处置</w:t>
            </w:r>
          </w:p>
        </w:tc>
        <w:tc>
          <w:tcPr>
            <w:tcW w:w="991" w:type="pct"/>
            <w:vAlign w:val="center"/>
          </w:tcPr>
          <w:p w14:paraId="2ECE1098">
            <w:pPr>
              <w:pStyle w:val="16"/>
              <w:rPr>
                <w:color w:val="auto"/>
                <w:szCs w:val="24"/>
              </w:rPr>
            </w:pPr>
            <w:r>
              <w:rPr>
                <w:color w:val="auto"/>
              </w:rPr>
              <w:t>/</w:t>
            </w:r>
          </w:p>
        </w:tc>
        <w:tc>
          <w:tcPr>
            <w:tcW w:w="722" w:type="pct"/>
            <w:vAlign w:val="center"/>
          </w:tcPr>
          <w:p w14:paraId="325F52DD">
            <w:pPr>
              <w:pStyle w:val="16"/>
              <w:rPr>
                <w:color w:val="auto"/>
                <w:szCs w:val="24"/>
              </w:rPr>
            </w:pPr>
            <w:r>
              <w:rPr>
                <w:color w:val="auto"/>
              </w:rPr>
              <w:t>/</w:t>
            </w:r>
          </w:p>
        </w:tc>
      </w:tr>
      <w:tr w14:paraId="347AD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6594B2B6">
            <w:pPr>
              <w:pStyle w:val="16"/>
              <w:rPr>
                <w:color w:val="auto"/>
                <w:szCs w:val="24"/>
              </w:rPr>
            </w:pPr>
            <w:r>
              <w:rPr>
                <w:color w:val="auto"/>
              </w:rPr>
              <w:t>地下水及土壤环境</w:t>
            </w:r>
          </w:p>
        </w:tc>
        <w:tc>
          <w:tcPr>
            <w:tcW w:w="1114" w:type="pct"/>
            <w:vAlign w:val="center"/>
          </w:tcPr>
          <w:p w14:paraId="1498E72E">
            <w:pPr>
              <w:pStyle w:val="16"/>
              <w:rPr>
                <w:color w:val="auto"/>
                <w:szCs w:val="24"/>
              </w:rPr>
            </w:pPr>
            <w:r>
              <w:rPr>
                <w:color w:val="auto"/>
              </w:rPr>
              <w:t>/</w:t>
            </w:r>
          </w:p>
        </w:tc>
        <w:tc>
          <w:tcPr>
            <w:tcW w:w="1269" w:type="pct"/>
            <w:vAlign w:val="center"/>
          </w:tcPr>
          <w:p w14:paraId="48E99B3D">
            <w:pPr>
              <w:pStyle w:val="16"/>
              <w:rPr>
                <w:color w:val="auto"/>
                <w:szCs w:val="24"/>
              </w:rPr>
            </w:pPr>
            <w:r>
              <w:rPr>
                <w:color w:val="auto"/>
              </w:rPr>
              <w:t>/</w:t>
            </w:r>
          </w:p>
        </w:tc>
        <w:tc>
          <w:tcPr>
            <w:tcW w:w="991" w:type="pct"/>
            <w:vAlign w:val="center"/>
          </w:tcPr>
          <w:p w14:paraId="44F55099">
            <w:pPr>
              <w:pStyle w:val="16"/>
              <w:rPr>
                <w:color w:val="auto"/>
                <w:szCs w:val="24"/>
              </w:rPr>
            </w:pPr>
            <w:r>
              <w:rPr>
                <w:color w:val="auto"/>
              </w:rPr>
              <w:t>/</w:t>
            </w:r>
          </w:p>
        </w:tc>
        <w:tc>
          <w:tcPr>
            <w:tcW w:w="722" w:type="pct"/>
            <w:vAlign w:val="center"/>
          </w:tcPr>
          <w:p w14:paraId="1221C478">
            <w:pPr>
              <w:pStyle w:val="16"/>
              <w:rPr>
                <w:color w:val="auto"/>
                <w:szCs w:val="24"/>
              </w:rPr>
            </w:pPr>
            <w:r>
              <w:rPr>
                <w:color w:val="auto"/>
              </w:rPr>
              <w:t>/</w:t>
            </w:r>
          </w:p>
        </w:tc>
      </w:tr>
      <w:tr w14:paraId="4E6BE4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686EC655">
            <w:pPr>
              <w:pStyle w:val="16"/>
              <w:rPr>
                <w:color w:val="auto"/>
                <w:szCs w:val="24"/>
              </w:rPr>
            </w:pPr>
            <w:r>
              <w:rPr>
                <w:color w:val="auto"/>
              </w:rPr>
              <w:t>声环境</w:t>
            </w:r>
          </w:p>
        </w:tc>
        <w:tc>
          <w:tcPr>
            <w:tcW w:w="1114" w:type="pct"/>
            <w:vAlign w:val="center"/>
          </w:tcPr>
          <w:p w14:paraId="7CBB8D68">
            <w:pPr>
              <w:pStyle w:val="16"/>
              <w:rPr>
                <w:color w:val="auto"/>
                <w:szCs w:val="24"/>
              </w:rPr>
            </w:pPr>
            <w:r>
              <w:rPr>
                <w:color w:val="auto"/>
              </w:rPr>
              <w:t>采用低噪声机械，对设备进行维修保养；禁止夜间施工</w:t>
            </w:r>
            <w:r>
              <w:rPr>
                <w:rFonts w:hint="eastAsia"/>
                <w:color w:val="auto"/>
              </w:rPr>
              <w:t>；高噪声设备运行时设置临时围档等</w:t>
            </w:r>
          </w:p>
        </w:tc>
        <w:tc>
          <w:tcPr>
            <w:tcW w:w="1269" w:type="pct"/>
            <w:vAlign w:val="center"/>
          </w:tcPr>
          <w:p w14:paraId="4B3B94CF">
            <w:pPr>
              <w:pStyle w:val="16"/>
              <w:rPr>
                <w:color w:val="auto"/>
                <w:szCs w:val="24"/>
              </w:rPr>
            </w:pPr>
            <w:r>
              <w:rPr>
                <w:rFonts w:hint="eastAsia"/>
                <w:color w:val="auto"/>
              </w:rPr>
              <w:t>满足</w:t>
            </w:r>
            <w:r>
              <w:rPr>
                <w:color w:val="auto"/>
              </w:rPr>
              <w:t>《建筑施工噪声排放标准</w:t>
            </w:r>
            <w:r>
              <w:rPr>
                <w:rFonts w:hint="eastAsia"/>
                <w:color w:val="auto"/>
              </w:rPr>
              <w:t>》（</w:t>
            </w:r>
            <w:r>
              <w:rPr>
                <w:color w:val="auto"/>
              </w:rPr>
              <w:t>GB12523-20</w:t>
            </w:r>
            <w:r>
              <w:rPr>
                <w:rFonts w:hint="eastAsia"/>
                <w:color w:val="auto"/>
              </w:rPr>
              <w:t>25）</w:t>
            </w:r>
            <w:r>
              <w:rPr>
                <w:color w:val="auto"/>
              </w:rPr>
              <w:t>中相关标准</w:t>
            </w:r>
          </w:p>
        </w:tc>
        <w:tc>
          <w:tcPr>
            <w:tcW w:w="991" w:type="pct"/>
            <w:vAlign w:val="center"/>
          </w:tcPr>
          <w:p w14:paraId="47C8AA75">
            <w:pPr>
              <w:pStyle w:val="16"/>
              <w:rPr>
                <w:color w:val="auto"/>
                <w:szCs w:val="24"/>
              </w:rPr>
            </w:pPr>
            <w:r>
              <w:rPr>
                <w:color w:val="auto"/>
              </w:rPr>
              <w:t>/</w:t>
            </w:r>
          </w:p>
        </w:tc>
        <w:tc>
          <w:tcPr>
            <w:tcW w:w="722" w:type="pct"/>
            <w:vAlign w:val="center"/>
          </w:tcPr>
          <w:p w14:paraId="78401B80">
            <w:pPr>
              <w:pStyle w:val="16"/>
              <w:rPr>
                <w:color w:val="auto"/>
                <w:szCs w:val="24"/>
              </w:rPr>
            </w:pPr>
            <w:r>
              <w:rPr>
                <w:color w:val="auto"/>
              </w:rPr>
              <w:t>/</w:t>
            </w:r>
          </w:p>
        </w:tc>
      </w:tr>
      <w:tr w14:paraId="2D309B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1C393EDF">
            <w:pPr>
              <w:pStyle w:val="16"/>
              <w:rPr>
                <w:color w:val="auto"/>
                <w:szCs w:val="24"/>
              </w:rPr>
            </w:pPr>
            <w:r>
              <w:rPr>
                <w:color w:val="auto"/>
              </w:rPr>
              <w:t>振动</w:t>
            </w:r>
          </w:p>
        </w:tc>
        <w:tc>
          <w:tcPr>
            <w:tcW w:w="1114" w:type="pct"/>
            <w:vAlign w:val="center"/>
          </w:tcPr>
          <w:p w14:paraId="5B2DB964">
            <w:pPr>
              <w:pStyle w:val="16"/>
              <w:rPr>
                <w:color w:val="auto"/>
                <w:szCs w:val="24"/>
              </w:rPr>
            </w:pPr>
            <w:r>
              <w:rPr>
                <w:color w:val="auto"/>
              </w:rPr>
              <w:t>/</w:t>
            </w:r>
          </w:p>
        </w:tc>
        <w:tc>
          <w:tcPr>
            <w:tcW w:w="1269" w:type="pct"/>
            <w:vAlign w:val="center"/>
          </w:tcPr>
          <w:p w14:paraId="2D0820E9">
            <w:pPr>
              <w:pStyle w:val="16"/>
              <w:rPr>
                <w:color w:val="auto"/>
              </w:rPr>
            </w:pPr>
            <w:r>
              <w:rPr>
                <w:color w:val="auto"/>
              </w:rPr>
              <w:t>/</w:t>
            </w:r>
          </w:p>
          <w:p w14:paraId="042E1D01">
            <w:pPr>
              <w:ind w:firstLine="480"/>
              <w:rPr>
                <w:color w:val="auto"/>
              </w:rPr>
            </w:pPr>
          </w:p>
        </w:tc>
        <w:tc>
          <w:tcPr>
            <w:tcW w:w="991" w:type="pct"/>
            <w:vAlign w:val="center"/>
          </w:tcPr>
          <w:p w14:paraId="781B6383">
            <w:pPr>
              <w:pStyle w:val="16"/>
              <w:rPr>
                <w:color w:val="auto"/>
                <w:szCs w:val="24"/>
              </w:rPr>
            </w:pPr>
            <w:r>
              <w:rPr>
                <w:color w:val="auto"/>
              </w:rPr>
              <w:t>/</w:t>
            </w:r>
          </w:p>
        </w:tc>
        <w:tc>
          <w:tcPr>
            <w:tcW w:w="722" w:type="pct"/>
            <w:vAlign w:val="center"/>
          </w:tcPr>
          <w:p w14:paraId="4DC5829D">
            <w:pPr>
              <w:pStyle w:val="16"/>
              <w:rPr>
                <w:color w:val="auto"/>
                <w:szCs w:val="24"/>
              </w:rPr>
            </w:pPr>
            <w:r>
              <w:rPr>
                <w:color w:val="auto"/>
              </w:rPr>
              <w:t>/</w:t>
            </w:r>
          </w:p>
        </w:tc>
      </w:tr>
      <w:tr w14:paraId="4EC40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3CD4D37F">
            <w:pPr>
              <w:pStyle w:val="16"/>
              <w:rPr>
                <w:color w:val="auto"/>
                <w:szCs w:val="24"/>
              </w:rPr>
            </w:pPr>
            <w:r>
              <w:rPr>
                <w:color w:val="auto"/>
              </w:rPr>
              <w:t>大气环境</w:t>
            </w:r>
          </w:p>
        </w:tc>
        <w:tc>
          <w:tcPr>
            <w:tcW w:w="1114" w:type="pct"/>
            <w:vAlign w:val="center"/>
          </w:tcPr>
          <w:p w14:paraId="4BC27D70">
            <w:pPr>
              <w:pStyle w:val="16"/>
              <w:rPr>
                <w:color w:val="auto"/>
                <w:szCs w:val="24"/>
              </w:rPr>
            </w:pPr>
            <w:r>
              <w:rPr>
                <w:color w:val="auto"/>
              </w:rPr>
              <w:t>定期洒水；建材堆放采用毡布覆盖；建筑垃圾、弃土、粉料</w:t>
            </w:r>
            <w:r>
              <w:rPr>
                <w:rFonts w:hint="eastAsia"/>
                <w:color w:val="auto"/>
              </w:rPr>
              <w:t>篷布</w:t>
            </w:r>
            <w:r>
              <w:rPr>
                <w:color w:val="auto"/>
              </w:rPr>
              <w:t>遮盖运输</w:t>
            </w:r>
          </w:p>
        </w:tc>
        <w:tc>
          <w:tcPr>
            <w:tcW w:w="1269" w:type="pct"/>
            <w:vAlign w:val="center"/>
          </w:tcPr>
          <w:p w14:paraId="7F530468">
            <w:pPr>
              <w:pStyle w:val="16"/>
              <w:rPr>
                <w:color w:val="auto"/>
                <w:szCs w:val="24"/>
              </w:rPr>
            </w:pPr>
            <w:r>
              <w:rPr>
                <w:color w:val="auto"/>
              </w:rPr>
              <w:t>《四川省施工场地扬尘排放标准DB51/2682-2020</w:t>
            </w:r>
            <w:r>
              <w:rPr>
                <w:rFonts w:hint="eastAsia"/>
                <w:color w:val="auto"/>
              </w:rPr>
              <w:t>）</w:t>
            </w:r>
          </w:p>
        </w:tc>
        <w:tc>
          <w:tcPr>
            <w:tcW w:w="991" w:type="pct"/>
            <w:vAlign w:val="center"/>
          </w:tcPr>
          <w:p w14:paraId="2EDCF801">
            <w:pPr>
              <w:pStyle w:val="16"/>
              <w:rPr>
                <w:color w:val="auto"/>
                <w:szCs w:val="24"/>
              </w:rPr>
            </w:pPr>
            <w:r>
              <w:rPr>
                <w:color w:val="auto"/>
              </w:rPr>
              <w:t>/</w:t>
            </w:r>
          </w:p>
        </w:tc>
        <w:tc>
          <w:tcPr>
            <w:tcW w:w="722" w:type="pct"/>
            <w:vAlign w:val="center"/>
          </w:tcPr>
          <w:p w14:paraId="6E22F954">
            <w:pPr>
              <w:pStyle w:val="16"/>
              <w:rPr>
                <w:color w:val="auto"/>
                <w:szCs w:val="24"/>
              </w:rPr>
            </w:pPr>
            <w:r>
              <w:rPr>
                <w:color w:val="auto"/>
              </w:rPr>
              <w:t>/</w:t>
            </w:r>
          </w:p>
        </w:tc>
      </w:tr>
      <w:tr w14:paraId="4890D9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51BA86E6">
            <w:pPr>
              <w:pStyle w:val="16"/>
              <w:rPr>
                <w:color w:val="auto"/>
                <w:szCs w:val="24"/>
              </w:rPr>
            </w:pPr>
            <w:r>
              <w:rPr>
                <w:color w:val="auto"/>
              </w:rPr>
              <w:t>固体废物</w:t>
            </w:r>
          </w:p>
        </w:tc>
        <w:tc>
          <w:tcPr>
            <w:tcW w:w="1114" w:type="pct"/>
            <w:vAlign w:val="center"/>
          </w:tcPr>
          <w:p w14:paraId="7BD600D0">
            <w:pPr>
              <w:pStyle w:val="16"/>
              <w:rPr>
                <w:color w:val="auto"/>
                <w:szCs w:val="24"/>
              </w:rPr>
            </w:pPr>
            <w:r>
              <w:rPr>
                <w:color w:val="auto"/>
              </w:rPr>
              <w:t>建筑垃圾分类处理；生活垃圾委托环卫部门处理。</w:t>
            </w:r>
          </w:p>
        </w:tc>
        <w:tc>
          <w:tcPr>
            <w:tcW w:w="1269" w:type="pct"/>
            <w:vAlign w:val="center"/>
          </w:tcPr>
          <w:p w14:paraId="5BEA34E8">
            <w:pPr>
              <w:pStyle w:val="16"/>
              <w:rPr>
                <w:color w:val="auto"/>
              </w:rPr>
            </w:pPr>
            <w:r>
              <w:rPr>
                <w:color w:val="auto"/>
              </w:rPr>
              <w:t>合理处置，不造成二</w:t>
            </w:r>
          </w:p>
          <w:p w14:paraId="42FC802C">
            <w:pPr>
              <w:pStyle w:val="16"/>
              <w:rPr>
                <w:color w:val="auto"/>
                <w:szCs w:val="24"/>
              </w:rPr>
            </w:pPr>
            <w:r>
              <w:rPr>
                <w:color w:val="auto"/>
              </w:rPr>
              <w:t>次污染</w:t>
            </w:r>
          </w:p>
        </w:tc>
        <w:tc>
          <w:tcPr>
            <w:tcW w:w="991" w:type="pct"/>
            <w:vAlign w:val="center"/>
          </w:tcPr>
          <w:p w14:paraId="6BCDF44B">
            <w:pPr>
              <w:pStyle w:val="16"/>
              <w:rPr>
                <w:color w:val="auto"/>
                <w:szCs w:val="24"/>
              </w:rPr>
            </w:pPr>
            <w:r>
              <w:rPr>
                <w:rFonts w:hint="eastAsia"/>
                <w:color w:val="auto"/>
              </w:rPr>
              <w:t>王家河二级加压泵站清水池采用二氧化氯消毒，运营期定期清淤，污泥采用人工清淤后用吸污车抽运至污水处理厂处置。</w:t>
            </w:r>
          </w:p>
        </w:tc>
        <w:tc>
          <w:tcPr>
            <w:tcW w:w="722" w:type="pct"/>
            <w:vAlign w:val="center"/>
          </w:tcPr>
          <w:p w14:paraId="5721D90E">
            <w:pPr>
              <w:pStyle w:val="16"/>
              <w:rPr>
                <w:color w:val="auto"/>
                <w:szCs w:val="24"/>
              </w:rPr>
            </w:pPr>
            <w:r>
              <w:rPr>
                <w:rFonts w:hint="eastAsia"/>
                <w:color w:val="auto"/>
              </w:rPr>
              <w:t>未造成污染</w:t>
            </w:r>
          </w:p>
        </w:tc>
      </w:tr>
      <w:tr w14:paraId="404F91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77E20348">
            <w:pPr>
              <w:pStyle w:val="16"/>
              <w:rPr>
                <w:color w:val="auto"/>
                <w:szCs w:val="24"/>
              </w:rPr>
            </w:pPr>
            <w:r>
              <w:rPr>
                <w:color w:val="auto"/>
              </w:rPr>
              <w:t>电磁环境</w:t>
            </w:r>
          </w:p>
        </w:tc>
        <w:tc>
          <w:tcPr>
            <w:tcW w:w="1114" w:type="pct"/>
            <w:vAlign w:val="center"/>
          </w:tcPr>
          <w:p w14:paraId="34A4CE07">
            <w:pPr>
              <w:pStyle w:val="16"/>
              <w:rPr>
                <w:color w:val="auto"/>
                <w:szCs w:val="24"/>
              </w:rPr>
            </w:pPr>
            <w:r>
              <w:rPr>
                <w:color w:val="auto"/>
              </w:rPr>
              <w:t>/</w:t>
            </w:r>
          </w:p>
        </w:tc>
        <w:tc>
          <w:tcPr>
            <w:tcW w:w="1269" w:type="pct"/>
            <w:vAlign w:val="center"/>
          </w:tcPr>
          <w:p w14:paraId="3180B989">
            <w:pPr>
              <w:pStyle w:val="16"/>
              <w:rPr>
                <w:color w:val="auto"/>
                <w:szCs w:val="24"/>
              </w:rPr>
            </w:pPr>
            <w:r>
              <w:rPr>
                <w:color w:val="auto"/>
              </w:rPr>
              <w:t>/</w:t>
            </w:r>
          </w:p>
        </w:tc>
        <w:tc>
          <w:tcPr>
            <w:tcW w:w="991" w:type="pct"/>
            <w:vAlign w:val="center"/>
          </w:tcPr>
          <w:p w14:paraId="325A9230">
            <w:pPr>
              <w:pStyle w:val="16"/>
              <w:rPr>
                <w:color w:val="auto"/>
                <w:szCs w:val="24"/>
              </w:rPr>
            </w:pPr>
            <w:r>
              <w:rPr>
                <w:color w:val="auto"/>
              </w:rPr>
              <w:t>/</w:t>
            </w:r>
          </w:p>
        </w:tc>
        <w:tc>
          <w:tcPr>
            <w:tcW w:w="722" w:type="pct"/>
            <w:vAlign w:val="center"/>
          </w:tcPr>
          <w:p w14:paraId="57A717F9">
            <w:pPr>
              <w:pStyle w:val="16"/>
              <w:rPr>
                <w:color w:val="auto"/>
                <w:szCs w:val="24"/>
              </w:rPr>
            </w:pPr>
            <w:r>
              <w:rPr>
                <w:color w:val="auto"/>
              </w:rPr>
              <w:t>/</w:t>
            </w:r>
          </w:p>
        </w:tc>
      </w:tr>
      <w:tr w14:paraId="2AEA26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479990AF">
            <w:pPr>
              <w:pStyle w:val="16"/>
              <w:rPr>
                <w:color w:val="auto"/>
                <w:szCs w:val="24"/>
              </w:rPr>
            </w:pPr>
            <w:r>
              <w:rPr>
                <w:color w:val="auto"/>
              </w:rPr>
              <w:t>环境风险</w:t>
            </w:r>
          </w:p>
        </w:tc>
        <w:tc>
          <w:tcPr>
            <w:tcW w:w="1114" w:type="pct"/>
            <w:vAlign w:val="center"/>
          </w:tcPr>
          <w:p w14:paraId="69506549">
            <w:pPr>
              <w:pStyle w:val="16"/>
              <w:rPr>
                <w:color w:val="auto"/>
                <w:szCs w:val="24"/>
              </w:rPr>
            </w:pPr>
            <w:r>
              <w:rPr>
                <w:color w:val="auto"/>
              </w:rPr>
              <w:t>施工现场不得贮存车用化石燃油，加强车辆、设备的保养和日常维护</w:t>
            </w:r>
            <w:r>
              <w:rPr>
                <w:rFonts w:hint="eastAsia"/>
                <w:color w:val="auto"/>
              </w:rPr>
              <w:t>；加强施工废水的收集处理，避免事故排放。</w:t>
            </w:r>
          </w:p>
        </w:tc>
        <w:tc>
          <w:tcPr>
            <w:tcW w:w="1269" w:type="pct"/>
            <w:vAlign w:val="center"/>
          </w:tcPr>
          <w:p w14:paraId="4C4A87F2">
            <w:pPr>
              <w:pStyle w:val="16"/>
              <w:rPr>
                <w:color w:val="auto"/>
                <w:szCs w:val="24"/>
              </w:rPr>
            </w:pPr>
            <w:r>
              <w:rPr>
                <w:color w:val="auto"/>
              </w:rPr>
              <w:t>施工现场不得贮存车用化石燃油，加强车辆、设备的保养和日常维护</w:t>
            </w:r>
          </w:p>
        </w:tc>
        <w:tc>
          <w:tcPr>
            <w:tcW w:w="991" w:type="pct"/>
            <w:vAlign w:val="center"/>
          </w:tcPr>
          <w:p w14:paraId="624E345D">
            <w:pPr>
              <w:pStyle w:val="16"/>
              <w:rPr>
                <w:color w:val="auto"/>
                <w:szCs w:val="24"/>
              </w:rPr>
            </w:pPr>
            <w:r>
              <w:rPr>
                <w:color w:val="auto"/>
              </w:rPr>
              <w:t>/</w:t>
            </w:r>
          </w:p>
        </w:tc>
        <w:tc>
          <w:tcPr>
            <w:tcW w:w="722" w:type="pct"/>
            <w:vAlign w:val="center"/>
          </w:tcPr>
          <w:p w14:paraId="6D3BD1BD">
            <w:pPr>
              <w:pStyle w:val="16"/>
              <w:rPr>
                <w:color w:val="auto"/>
                <w:szCs w:val="24"/>
              </w:rPr>
            </w:pPr>
            <w:r>
              <w:rPr>
                <w:color w:val="auto"/>
              </w:rPr>
              <w:t>/</w:t>
            </w:r>
          </w:p>
        </w:tc>
      </w:tr>
      <w:tr w14:paraId="04860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73D25ECC">
            <w:pPr>
              <w:pStyle w:val="16"/>
              <w:rPr>
                <w:color w:val="auto"/>
                <w:szCs w:val="24"/>
              </w:rPr>
            </w:pPr>
            <w:r>
              <w:rPr>
                <w:color w:val="auto"/>
              </w:rPr>
              <w:t>环境监测</w:t>
            </w:r>
          </w:p>
        </w:tc>
        <w:tc>
          <w:tcPr>
            <w:tcW w:w="1114" w:type="pct"/>
            <w:vAlign w:val="center"/>
          </w:tcPr>
          <w:p w14:paraId="688BA175">
            <w:pPr>
              <w:pStyle w:val="16"/>
              <w:rPr>
                <w:color w:val="auto"/>
                <w:szCs w:val="24"/>
              </w:rPr>
            </w:pPr>
            <w:r>
              <w:rPr>
                <w:color w:val="auto"/>
              </w:rPr>
              <w:t>施工期</w:t>
            </w:r>
            <w:r>
              <w:rPr>
                <w:rFonts w:hint="eastAsia"/>
                <w:color w:val="auto"/>
              </w:rPr>
              <w:t>扬尘、噪声</w:t>
            </w:r>
            <w:r>
              <w:rPr>
                <w:color w:val="auto"/>
              </w:rPr>
              <w:t>进行监测。</w:t>
            </w:r>
          </w:p>
        </w:tc>
        <w:tc>
          <w:tcPr>
            <w:tcW w:w="1269" w:type="pct"/>
            <w:vAlign w:val="center"/>
          </w:tcPr>
          <w:p w14:paraId="4FBDEE54">
            <w:pPr>
              <w:pStyle w:val="16"/>
              <w:rPr>
                <w:color w:val="auto"/>
                <w:szCs w:val="24"/>
              </w:rPr>
            </w:pPr>
            <w:r>
              <w:rPr>
                <w:color w:val="auto"/>
              </w:rPr>
              <w:t>满足《四川省施工场地扬尘排放标准》</w:t>
            </w:r>
            <w:r>
              <w:rPr>
                <w:rFonts w:hint="eastAsia"/>
                <w:color w:val="auto"/>
              </w:rPr>
              <w:t>（</w:t>
            </w:r>
            <w:r>
              <w:rPr>
                <w:color w:val="auto"/>
              </w:rPr>
              <w:t>DB51/2682-2020</w:t>
            </w:r>
            <w:r>
              <w:rPr>
                <w:rFonts w:hint="eastAsia"/>
                <w:color w:val="auto"/>
              </w:rPr>
              <w:t>）、</w:t>
            </w:r>
            <w:r>
              <w:rPr>
                <w:color w:val="auto"/>
              </w:rPr>
              <w:t>《建筑施工噪声排放标准》（GB12523-20</w:t>
            </w:r>
            <w:r>
              <w:rPr>
                <w:rFonts w:hint="eastAsia"/>
                <w:color w:val="auto"/>
              </w:rPr>
              <w:t>25</w:t>
            </w:r>
            <w:r>
              <w:rPr>
                <w:color w:val="auto"/>
              </w:rPr>
              <w:t>）</w:t>
            </w:r>
          </w:p>
        </w:tc>
        <w:tc>
          <w:tcPr>
            <w:tcW w:w="991" w:type="pct"/>
            <w:vAlign w:val="center"/>
          </w:tcPr>
          <w:p w14:paraId="446CEAC7">
            <w:pPr>
              <w:pStyle w:val="16"/>
              <w:rPr>
                <w:color w:val="auto"/>
                <w:szCs w:val="24"/>
              </w:rPr>
            </w:pPr>
            <w:r>
              <w:rPr>
                <w:color w:val="auto"/>
              </w:rPr>
              <w:t>/</w:t>
            </w:r>
          </w:p>
        </w:tc>
        <w:tc>
          <w:tcPr>
            <w:tcW w:w="722" w:type="pct"/>
            <w:vAlign w:val="center"/>
          </w:tcPr>
          <w:p w14:paraId="21779B1A">
            <w:pPr>
              <w:pStyle w:val="16"/>
              <w:rPr>
                <w:color w:val="auto"/>
                <w:szCs w:val="24"/>
              </w:rPr>
            </w:pPr>
            <w:r>
              <w:rPr>
                <w:color w:val="auto"/>
              </w:rPr>
              <w:t>/</w:t>
            </w:r>
          </w:p>
        </w:tc>
      </w:tr>
      <w:tr w14:paraId="10F06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2" w:type="pct"/>
            <w:vAlign w:val="center"/>
          </w:tcPr>
          <w:p w14:paraId="23DC4F58">
            <w:pPr>
              <w:adjustRightInd w:val="0"/>
              <w:snapToGrid w:val="0"/>
              <w:spacing w:line="240" w:lineRule="auto"/>
              <w:ind w:firstLine="0" w:firstLineChars="0"/>
              <w:jc w:val="center"/>
              <w:rPr>
                <w:color w:val="auto"/>
                <w:kern w:val="0"/>
              </w:rPr>
            </w:pPr>
            <w:r>
              <w:rPr>
                <w:color w:val="auto"/>
                <w:kern w:val="0"/>
              </w:rPr>
              <w:t>其他</w:t>
            </w:r>
          </w:p>
        </w:tc>
        <w:tc>
          <w:tcPr>
            <w:tcW w:w="1114" w:type="pct"/>
            <w:vAlign w:val="center"/>
          </w:tcPr>
          <w:p w14:paraId="55DC9EC3">
            <w:pPr>
              <w:adjustRightInd w:val="0"/>
              <w:snapToGrid w:val="0"/>
              <w:spacing w:line="240" w:lineRule="auto"/>
              <w:ind w:firstLine="0" w:firstLineChars="0"/>
              <w:jc w:val="center"/>
              <w:rPr>
                <w:color w:val="auto"/>
                <w:kern w:val="0"/>
              </w:rPr>
            </w:pPr>
            <w:r>
              <w:rPr>
                <w:color w:val="auto"/>
                <w:kern w:val="0"/>
              </w:rPr>
              <w:t>/</w:t>
            </w:r>
          </w:p>
        </w:tc>
        <w:tc>
          <w:tcPr>
            <w:tcW w:w="1269" w:type="pct"/>
            <w:vAlign w:val="center"/>
          </w:tcPr>
          <w:p w14:paraId="0BC376BC">
            <w:pPr>
              <w:adjustRightInd w:val="0"/>
              <w:snapToGrid w:val="0"/>
              <w:spacing w:line="240" w:lineRule="auto"/>
              <w:ind w:firstLine="0" w:firstLineChars="0"/>
              <w:jc w:val="center"/>
              <w:rPr>
                <w:color w:val="auto"/>
                <w:kern w:val="0"/>
              </w:rPr>
            </w:pPr>
            <w:r>
              <w:rPr>
                <w:color w:val="auto"/>
                <w:kern w:val="0"/>
              </w:rPr>
              <w:t>/</w:t>
            </w:r>
          </w:p>
        </w:tc>
        <w:tc>
          <w:tcPr>
            <w:tcW w:w="991" w:type="pct"/>
            <w:vAlign w:val="center"/>
          </w:tcPr>
          <w:p w14:paraId="64AEC03E">
            <w:pPr>
              <w:adjustRightInd w:val="0"/>
              <w:snapToGrid w:val="0"/>
              <w:spacing w:line="240" w:lineRule="auto"/>
              <w:ind w:firstLine="0" w:firstLineChars="0"/>
              <w:jc w:val="center"/>
              <w:rPr>
                <w:color w:val="auto"/>
                <w:kern w:val="0"/>
              </w:rPr>
            </w:pPr>
            <w:r>
              <w:rPr>
                <w:color w:val="auto"/>
                <w:kern w:val="0"/>
              </w:rPr>
              <w:t>/</w:t>
            </w:r>
          </w:p>
        </w:tc>
        <w:tc>
          <w:tcPr>
            <w:tcW w:w="722" w:type="pct"/>
            <w:vAlign w:val="center"/>
          </w:tcPr>
          <w:p w14:paraId="1F120256">
            <w:pPr>
              <w:adjustRightInd w:val="0"/>
              <w:snapToGrid w:val="0"/>
              <w:spacing w:line="240" w:lineRule="auto"/>
              <w:ind w:firstLine="0" w:firstLineChars="0"/>
              <w:jc w:val="center"/>
              <w:rPr>
                <w:color w:val="auto"/>
                <w:kern w:val="0"/>
              </w:rPr>
            </w:pPr>
            <w:r>
              <w:rPr>
                <w:color w:val="auto"/>
                <w:kern w:val="0"/>
              </w:rPr>
              <w:t>/</w:t>
            </w:r>
          </w:p>
        </w:tc>
      </w:tr>
    </w:tbl>
    <w:p w14:paraId="70E1F728">
      <w:pPr>
        <w:widowControl/>
        <w:autoSpaceDE/>
        <w:autoSpaceDN/>
        <w:ind w:firstLine="600"/>
        <w:jc w:val="center"/>
        <w:rPr>
          <w:rFonts w:eastAsia="黑体"/>
          <w:snapToGrid w:val="0"/>
          <w:color w:val="auto"/>
          <w:sz w:val="30"/>
          <w:szCs w:val="30"/>
        </w:rPr>
      </w:pPr>
    </w:p>
    <w:p w14:paraId="27D3AA86">
      <w:pPr>
        <w:widowControl/>
        <w:autoSpaceDE/>
        <w:autoSpaceDN/>
        <w:spacing w:line="15" w:lineRule="auto"/>
        <w:ind w:firstLine="600"/>
        <w:jc w:val="center"/>
        <w:rPr>
          <w:rFonts w:eastAsia="黑体"/>
          <w:snapToGrid w:val="0"/>
          <w:color w:val="auto"/>
          <w:sz w:val="30"/>
          <w:szCs w:val="30"/>
        </w:rPr>
      </w:pPr>
      <w:r>
        <w:rPr>
          <w:rFonts w:eastAsia="黑体"/>
          <w:snapToGrid w:val="0"/>
          <w:color w:val="auto"/>
          <w:sz w:val="30"/>
          <w:szCs w:val="30"/>
        </w:rPr>
        <w:br w:type="page"/>
      </w:r>
    </w:p>
    <w:p w14:paraId="7E41AD38">
      <w:pPr>
        <w:spacing w:before="192" w:beforeLines="80"/>
        <w:ind w:firstLine="0" w:firstLineChars="0"/>
        <w:jc w:val="center"/>
        <w:outlineLvl w:val="0"/>
        <w:rPr>
          <w:rFonts w:eastAsia="黑体"/>
          <w:snapToGrid w:val="0"/>
          <w:color w:val="auto"/>
          <w:sz w:val="30"/>
          <w:szCs w:val="30"/>
        </w:rPr>
      </w:pPr>
      <w:r>
        <w:rPr>
          <w:rFonts w:eastAsia="黑体"/>
          <w:snapToGrid w:val="0"/>
          <w:color w:val="auto"/>
          <w:sz w:val="30"/>
          <w:szCs w:val="30"/>
        </w:rPr>
        <w:t>七、结论</w:t>
      </w:r>
    </w:p>
    <w:tbl>
      <w:tblPr>
        <w:tblStyle w:val="12"/>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47E48D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9" w:hRule="atLeast"/>
          <w:jc w:val="center"/>
        </w:trPr>
        <w:tc>
          <w:tcPr>
            <w:tcW w:w="9289" w:type="dxa"/>
          </w:tcPr>
          <w:p w14:paraId="329BEB73">
            <w:pPr>
              <w:widowControl/>
              <w:autoSpaceDE/>
              <w:autoSpaceDN/>
              <w:adjustRightInd w:val="0"/>
              <w:snapToGrid w:val="0"/>
              <w:ind w:firstLine="480"/>
              <w:outlineLvl w:val="0"/>
              <w:rPr>
                <w:color w:val="auto"/>
              </w:rPr>
            </w:pPr>
            <w:r>
              <w:rPr>
                <w:rFonts w:hint="eastAsia"/>
                <w:color w:val="auto"/>
              </w:rPr>
              <w:t>本项目建设将解决铁佛镇移民区及其周边村18393人的饮水安全问题及11270亩农田灌溉问题。项目区移民及当地群众饮用水、灌溉水的水质、水量、用水保证率将明显改善。</w:t>
            </w:r>
          </w:p>
          <w:p w14:paraId="0B1AEB08">
            <w:pPr>
              <w:adjustRightInd w:val="0"/>
              <w:snapToGrid w:val="0"/>
              <w:ind w:firstLine="480"/>
              <w:rPr>
                <w:rFonts w:cs="宋体"/>
                <w:color w:val="auto"/>
                <w:szCs w:val="21"/>
              </w:rPr>
            </w:pPr>
            <w:r>
              <w:rPr>
                <w:rFonts w:hint="eastAsia" w:cs="宋体"/>
                <w:color w:val="auto"/>
                <w:szCs w:val="21"/>
              </w:rPr>
              <w:t>本项目符合国家产业政策，与生态环境分区管控和其他规划不冲突。</w:t>
            </w:r>
          </w:p>
          <w:p w14:paraId="20F11296">
            <w:pPr>
              <w:adjustRightInd w:val="0"/>
              <w:snapToGrid w:val="0"/>
              <w:ind w:firstLine="480"/>
              <w:rPr>
                <w:rFonts w:cs="宋体"/>
                <w:color w:val="auto"/>
                <w:szCs w:val="21"/>
              </w:rPr>
            </w:pPr>
            <w:r>
              <w:rPr>
                <w:rFonts w:hint="eastAsia" w:cs="宋体"/>
                <w:color w:val="auto"/>
                <w:szCs w:val="21"/>
              </w:rPr>
              <w:t>本项目在设计、施工、运行过程中按照国家相关环境保护要求，分别采取了一系列的环境保护措施，使项目产生的水环境、大气环境、声环境等影响满足国家有关环境保护标准的要求。本项目的建设将不可避免对生态环境造成影响，通过选址避让、优化设计、严格施工管理和生态恢复等综合措施，本工程对生态环境的各项不利影响均可得到有效控制或减缓，整体生态影响在可接受范围内。在落实项目设计和环境影响报告中提出的相关生态环境保护措施后，项目建设带来的环境影响能得到减缓和有效控制。因此，从环境保护的角度，本项目的建设是可行的。</w:t>
            </w:r>
          </w:p>
          <w:p w14:paraId="4EDB2342">
            <w:pPr>
              <w:widowControl/>
              <w:autoSpaceDE/>
              <w:autoSpaceDN/>
              <w:adjustRightInd w:val="0"/>
              <w:snapToGrid w:val="0"/>
              <w:ind w:firstLine="480"/>
              <w:outlineLvl w:val="0"/>
              <w:rPr>
                <w:color w:val="auto"/>
                <w:kern w:val="0"/>
              </w:rPr>
            </w:pPr>
          </w:p>
        </w:tc>
      </w:tr>
    </w:tbl>
    <w:p w14:paraId="2602BDD4">
      <w:pPr>
        <w:widowControl/>
        <w:adjustRightInd w:val="0"/>
        <w:snapToGrid w:val="0"/>
        <w:spacing w:before="192" w:beforeLines="80"/>
        <w:ind w:firstLine="0" w:firstLineChars="0"/>
        <w:jc w:val="left"/>
        <w:rPr>
          <w:color w:val="auto"/>
        </w:rPr>
      </w:pPr>
    </w:p>
    <w:sectPr>
      <w:pgSz w:w="11906" w:h="16838"/>
      <w:pgMar w:top="1440" w:right="1800" w:bottom="1440" w:left="1800" w:header="851" w:footer="1077"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B9DF0B-B3D9-4221-B29B-85F3E3D3D12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7205C1CB-CA12-4A61-90BF-DFC2B68EC3E3}"/>
  </w:font>
  <w:font w:name="仿宋">
    <w:panose1 w:val="02010609060101010101"/>
    <w:charset w:val="86"/>
    <w:family w:val="modern"/>
    <w:pitch w:val="default"/>
    <w:sig w:usb0="800002BF" w:usb1="38CF7CFA" w:usb2="00000016" w:usb3="00000000" w:csb0="00040001" w:csb1="00000000"/>
    <w:embedRegular r:id="rId3" w:fontKey="{CB7E0214-E188-4107-96B6-4CAFD08E7A25}"/>
  </w:font>
  <w:font w:name="仿宋_GB2312">
    <w:panose1 w:val="02010609030101010101"/>
    <w:charset w:val="86"/>
    <w:family w:val="auto"/>
    <w:pitch w:val="default"/>
    <w:sig w:usb0="00000001" w:usb1="080E0000" w:usb2="00000000" w:usb3="00000000" w:csb0="00040000" w:csb1="00000000"/>
    <w:embedRegular r:id="rId4" w:fontKey="{D5FA3381-4C32-4990-A434-1B51515901AC}"/>
  </w:font>
  <w:font w:name="方正小标宋_GBK">
    <w:panose1 w:val="03000509000000000000"/>
    <w:charset w:val="86"/>
    <w:family w:val="script"/>
    <w:pitch w:val="default"/>
    <w:sig w:usb0="00000001" w:usb1="080E0000" w:usb2="00000000" w:usb3="00000000" w:csb0="00040000" w:csb1="00000000"/>
    <w:embedRegular r:id="rId5" w:fontKey="{B125DEE5-CDBC-479C-A3BB-848E4B3B2C1B}"/>
  </w:font>
  <w:font w:name="楷体_GB2312">
    <w:panose1 w:val="02010609030101010101"/>
    <w:charset w:val="86"/>
    <w:family w:val="modern"/>
    <w:pitch w:val="default"/>
    <w:sig w:usb0="00000001" w:usb1="080E0000" w:usb2="00000000" w:usb3="00000000" w:csb0="00040000" w:csb1="00000000"/>
    <w:embedRegular r:id="rId6" w:fontKey="{2EAFC288-0498-468B-8476-2D8BC7C6C879}"/>
  </w:font>
  <w:font w:name="华文仿宋">
    <w:panose1 w:val="02010600040101010101"/>
    <w:charset w:val="86"/>
    <w:family w:val="auto"/>
    <w:pitch w:val="default"/>
    <w:sig w:usb0="00000287" w:usb1="080F0000" w:usb2="00000000" w:usb3="00000000" w:csb0="0004009F" w:csb1="DFD70000"/>
    <w:embedRegular r:id="rId7" w:fontKey="{D5C3AFF5-A7DF-453F-8A23-6B4C7414F90F}"/>
  </w:font>
  <w:font w:name="微软雅黑">
    <w:panose1 w:val="020B0503020204020204"/>
    <w:charset w:val="86"/>
    <w:family w:val="swiss"/>
    <w:pitch w:val="default"/>
    <w:sig w:usb0="80000287" w:usb1="280F3C52" w:usb2="00000016" w:usb3="00000000" w:csb0="0004001F" w:csb1="00000000"/>
    <w:embedRegular r:id="rId8" w:fontKey="{E681F0DB-8FB0-4077-A765-AE43F5F762CE}"/>
  </w:font>
  <w:font w:name="方正仿宋_GBK">
    <w:panose1 w:val="03000509000000000000"/>
    <w:charset w:val="86"/>
    <w:family w:val="script"/>
    <w:pitch w:val="default"/>
    <w:sig w:usb0="00000001" w:usb1="080E0000" w:usb2="00000000" w:usb3="00000000" w:csb0="00040000" w:csb1="00000000"/>
    <w:embedRegular r:id="rId9" w:fontKey="{665BF880-A926-40BB-8C6B-8019457DF1DA}"/>
  </w:font>
  <w:font w:name="新宋体">
    <w:panose1 w:val="02010609030101010101"/>
    <w:charset w:val="86"/>
    <w:family w:val="modern"/>
    <w:pitch w:val="default"/>
    <w:sig w:usb0="00000003" w:usb1="288F0000" w:usb2="00000006" w:usb3="00000000" w:csb0="00040001" w:csb1="00000000"/>
    <w:embedRegular r:id="rId10" w:fontKey="{8E40C9C0-1EEA-49BC-A1F9-FFD751769C7A}"/>
  </w:font>
  <w:font w:name="等线">
    <w:panose1 w:val="02010600030101010101"/>
    <w:charset w:val="86"/>
    <w:family w:val="auto"/>
    <w:pitch w:val="default"/>
    <w:sig w:usb0="A00002BF" w:usb1="38CF7CFA" w:usb2="00000016" w:usb3="00000000" w:csb0="0004000F" w:csb1="00000000"/>
    <w:embedRegular r:id="rId11" w:fontKey="{105A21A5-FF34-4CBC-AA81-1A21F65E840E}"/>
  </w:font>
  <w:font w:name="宋">
    <w:altName w:val="宋体"/>
    <w:panose1 w:val="00000000000000000000"/>
    <w:charset w:val="86"/>
    <w:family w:val="auto"/>
    <w:pitch w:val="default"/>
    <w:sig w:usb0="00000000" w:usb1="00000000" w:usb2="00000000" w:usb3="00000000" w:csb0="00040000" w:csb1="00000000"/>
    <w:embedRegular r:id="rId12" w:fontKey="{1C578573-7C68-4A97-88AD-AFCB9608A9C7}"/>
  </w:font>
  <w:font w:name="宋,Bold">
    <w:altName w:val="宋体"/>
    <w:panose1 w:val="00000000000000000000"/>
    <w:charset w:val="86"/>
    <w:family w:val="auto"/>
    <w:pitch w:val="default"/>
    <w:sig w:usb0="00000000" w:usb1="00000000" w:usb2="00000000" w:usb3="00000000" w:csb0="00040000" w:csb1="00000000"/>
    <w:embedRegular r:id="rId13" w:fontKey="{5F144F98-000B-417A-ACBA-1E0C5EEB8D63}"/>
  </w:font>
  <w:font w:name="TimesNewRomanPS-BoldMT">
    <w:altName w:val="宋体"/>
    <w:panose1 w:val="00000000000000000000"/>
    <w:charset w:val="86"/>
    <w:family w:val="auto"/>
    <w:pitch w:val="default"/>
    <w:sig w:usb0="00000000" w:usb1="00000000" w:usb2="00000000" w:usb3="00000000" w:csb0="00040000" w:csb1="00000000"/>
    <w:embedRegular r:id="rId14" w:fontKey="{F7508021-68D4-4363-8066-C9B44FA5E6A6}"/>
  </w:font>
  <w:font w:name="Cambria">
    <w:panose1 w:val="02040503050406030204"/>
    <w:charset w:val="00"/>
    <w:family w:val="roman"/>
    <w:pitch w:val="default"/>
    <w:sig w:usb0="E00002FF" w:usb1="400004FF" w:usb2="00000000" w:usb3="00000000" w:csb0="2000019F" w:csb1="00000000"/>
    <w:embedRegular r:id="rId15" w:fontKey="{51B07181-71C6-4133-84B3-7F7B7A4141B1}"/>
  </w:font>
  <w:font w:name="Cambria Math">
    <w:panose1 w:val="02040503050406030204"/>
    <w:charset w:val="00"/>
    <w:family w:val="roman"/>
    <w:pitch w:val="default"/>
    <w:sig w:usb0="E00002FF" w:usb1="420024FF" w:usb2="00000000" w:usb3="00000000" w:csb0="2000019F" w:csb1="00000000"/>
    <w:embedRegular r:id="rId16" w:fontKey="{BB7D2CD2-D906-4258-A874-E457896F6FBD}"/>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4D62">
    <w:pPr>
      <w:tabs>
        <w:tab w:val="center" w:pos="4153"/>
        <w:tab w:val="right" w:pos="8306"/>
      </w:tabs>
      <w:ind w:right="360"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B2790">
    <w:pPr>
      <w:framePr w:wrap="around" w:vAnchor="text" w:hAnchor="margin" w:xAlign="outside" w:y="1"/>
      <w:tabs>
        <w:tab w:val="center" w:pos="4153"/>
        <w:tab w:val="right" w:pos="8306"/>
      </w:tabs>
      <w:ind w:firstLine="480"/>
    </w:pPr>
    <w:r>
      <w:fldChar w:fldCharType="begin"/>
    </w:r>
    <w:r>
      <w:instrText xml:space="preserve">PAGE  </w:instrText>
    </w:r>
    <w:r>
      <w:fldChar w:fldCharType="end"/>
    </w:r>
  </w:p>
  <w:p w14:paraId="4A69B5EC">
    <w:pPr>
      <w:tabs>
        <w:tab w:val="center" w:pos="4153"/>
        <w:tab w:val="right" w:pos="8306"/>
      </w:tabs>
      <w:ind w:right="360"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9476">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86670">
    <w:pPr>
      <w:tabs>
        <w:tab w:val="center" w:pos="4153"/>
        <w:tab w:val="right" w:pos="8306"/>
      </w:tabs>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posOffset>2078990</wp:posOffset>
              </wp:positionH>
              <wp:positionV relativeFrom="paragraph">
                <wp:posOffset>4445</wp:posOffset>
              </wp:positionV>
              <wp:extent cx="1810385" cy="1828800"/>
              <wp:effectExtent l="0" t="0" r="0" b="8255"/>
              <wp:wrapNone/>
              <wp:docPr id="8" name="文本框 1"/>
              <wp:cNvGraphicFramePr/>
              <a:graphic xmlns:a="http://schemas.openxmlformats.org/drawingml/2006/main">
                <a:graphicData uri="http://schemas.microsoft.com/office/word/2010/wordprocessingShape">
                  <wps:wsp>
                    <wps:cNvSpPr txBox="1"/>
                    <wps:spPr>
                      <a:xfrm>
                        <a:off x="0" y="0"/>
                        <a:ext cx="1810327" cy="1828800"/>
                      </a:xfrm>
                      <a:prstGeom prst="rect">
                        <a:avLst/>
                      </a:prstGeom>
                      <a:noFill/>
                      <a:ln>
                        <a:noFill/>
                      </a:ln>
                    </wps:spPr>
                    <wps:txbx>
                      <w:txbxContent>
                        <w:p w14:paraId="72CC031A">
                          <w:pPr>
                            <w:tabs>
                              <w:tab w:val="center" w:pos="4153"/>
                              <w:tab w:val="right" w:pos="8306"/>
                            </w:tabs>
                            <w:ind w:firstLine="0" w:firstLineChars="0"/>
                            <w:jc w:val="center"/>
                          </w:pPr>
                          <w:r>
                            <w:t xml:space="preserve">第 </w:t>
                          </w:r>
                          <w:r>
                            <w:fldChar w:fldCharType="begin"/>
                          </w:r>
                          <w:r>
                            <w:instrText xml:space="preserve"> PAGE  \* MERGEFORMAT </w:instrText>
                          </w:r>
                          <w:r>
                            <w:fldChar w:fldCharType="separate"/>
                          </w:r>
                          <w:r>
                            <w:t>1</w:t>
                          </w:r>
                          <w:r>
                            <w:fldChar w:fldCharType="end"/>
                          </w:r>
                          <w:r>
                            <w:t xml:space="preserve"> 页</w:t>
                          </w:r>
                        </w:p>
                      </w:txbxContent>
                    </wps:txbx>
                    <wps:bodyPr vert="horz" wrap="square" lIns="0" tIns="0" rIns="0" bIns="0" anchor="t" anchorCtr="0">
                      <a:spAutoFit/>
                    </wps:bodyPr>
                  </wps:wsp>
                </a:graphicData>
              </a:graphic>
            </wp:anchor>
          </w:drawing>
        </mc:Choice>
        <mc:Fallback>
          <w:pict>
            <v:shape id="文本框 1" o:spid="_x0000_s1026" o:spt="202" type="#_x0000_t202" style="position:absolute;left:0pt;margin-left:163.7pt;margin-top:0.35pt;height:144pt;width:142.55pt;mso-position-horizontal-relative:margin;z-index:251660288;mso-width-relative:page;mso-height-relative:page;" filled="f" stroked="f" coordsize="21600,21600" o:gfxdata="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ffXgbdYAAAAIAQAADwAA&#10;AAAAAAABACAAAAAiAAAAZHJzL2Rvd25yZXYueG1sUEsBAhQAFAAAAAgAh07iQI/Uh8DfAQAAtAMA&#10;AA4AAAAAAAAAAQAgAAAAJQEAAGRycy9lMm9Eb2MueG1sUEsFBgAAAAAGAAYAWQEAAHYFAAAAAA==&#10;">
              <v:fill on="f" focussize="0,0"/>
              <v:stroke on="f"/>
              <v:imagedata o:title=""/>
              <o:lock v:ext="edit" aspectratio="f"/>
              <v:textbox inset="0mm,0mm,0mm,0mm" style="mso-fit-shape-to-text:t;">
                <w:txbxContent>
                  <w:p w14:paraId="72CC031A">
                    <w:pPr>
                      <w:tabs>
                        <w:tab w:val="center" w:pos="4153"/>
                        <w:tab w:val="right" w:pos="8306"/>
                      </w:tabs>
                      <w:ind w:firstLine="0" w:firstLineChars="0"/>
                      <w:jc w:val="center"/>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3522">
    <w:pPr>
      <w:pBdr>
        <w:bottom w:val="none" w:color="auto" w:sz="0" w:space="1"/>
      </w:pBdr>
      <w:tabs>
        <w:tab w:val="center" w:pos="4153"/>
        <w:tab w:val="right" w:pos="8306"/>
      </w:tabs>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E837C">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39061">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0CB15A"/>
    <w:multiLevelType w:val="multilevel"/>
    <w:tmpl w:val="180CB15A"/>
    <w:lvl w:ilvl="0" w:tentative="0">
      <w:start w:val="1"/>
      <w:numFmt w:val="decimal"/>
      <w:suff w:val="nothing"/>
      <w:lvlText w:val="%1、"/>
      <w:lvlJc w:val="center"/>
      <w:pPr>
        <w:ind w:left="3600" w:firstLine="0"/>
      </w:pPr>
      <w:rPr>
        <w:rFonts w:hint="default" w:ascii="Times New Roman" w:hAnsi="Times New Roman" w:eastAsia="宋体"/>
        <w:b/>
        <w:i w:val="0"/>
        <w:sz w:val="32"/>
      </w:rPr>
    </w:lvl>
    <w:lvl w:ilvl="1" w:tentative="0">
      <w:start w:val="1"/>
      <w:numFmt w:val="decimal"/>
      <w:suff w:val="space"/>
      <w:lvlText w:val="%1.%2"/>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1"/>
      <w:numFmt w:val="decimal"/>
      <w:suff w:val="space"/>
      <w:lvlText w:val="%1.%2.%3"/>
      <w:lvlJc w:val="left"/>
      <w:pPr>
        <w:ind w:left="284"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pStyle w:val="5"/>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suff w:val="nothing"/>
      <w:lvlText w:val="%1.%2.%3.%4.%5"/>
      <w:lvlJc w:val="left"/>
      <w:pPr>
        <w:tabs>
          <w:tab w:val="left" w:pos="0"/>
        </w:tabs>
        <w:ind w:left="454" w:hanging="454"/>
      </w:pPr>
      <w:rPr>
        <w:b w:val="0"/>
        <w:bCs w:val="0"/>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ind w:left="454" w:hanging="454"/>
      </w:pPr>
      <w:rPr>
        <w:rFonts w:hint="eastAsia"/>
      </w:rPr>
    </w:lvl>
    <w:lvl w:ilvl="6" w:tentative="0">
      <w:start w:val="2"/>
      <w:numFmt w:val="decimal"/>
      <w:lvlText w:val="%7.1-1"/>
      <w:lvlJc w:val="left"/>
      <w:pPr>
        <w:ind w:left="567" w:hanging="567"/>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7" w:tentative="0">
      <w:start w:val="1"/>
      <w:numFmt w:val="decimal"/>
      <w:lvlText w:val="%1.%2.%3.%4.%5.%6.%7.%8"/>
      <w:lvlJc w:val="left"/>
      <w:pPr>
        <w:ind w:left="454" w:hanging="454"/>
      </w:pPr>
      <w:rPr>
        <w:rFonts w:hint="eastAsia"/>
      </w:rPr>
    </w:lvl>
    <w:lvl w:ilvl="8" w:tentative="0">
      <w:start w:val="1"/>
      <w:numFmt w:val="decimal"/>
      <w:lvlText w:val="%1.%2.%3.%4.%5.%6.%7.%8.%9"/>
      <w:lvlJc w:val="left"/>
      <w:pPr>
        <w:ind w:left="454" w:hanging="454"/>
      </w:pPr>
      <w:rPr>
        <w:rFonts w:hint="eastAsia"/>
      </w:rPr>
    </w:lvl>
  </w:abstractNum>
  <w:abstractNum w:abstractNumId="1">
    <w:nsid w:val="799C1385"/>
    <w:multiLevelType w:val="singleLevel"/>
    <w:tmpl w:val="799C138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GRlZjUxYzk1MDA0ZTMwMTBlZmEyMTI1NDc1ZWMifQ=="/>
  </w:docVars>
  <w:rsids>
    <w:rsidRoot w:val="00A14947"/>
    <w:rsid w:val="00001CED"/>
    <w:rsid w:val="00001E67"/>
    <w:rsid w:val="00003CD8"/>
    <w:rsid w:val="00014965"/>
    <w:rsid w:val="0001523A"/>
    <w:rsid w:val="00016ECB"/>
    <w:rsid w:val="00017997"/>
    <w:rsid w:val="000269F6"/>
    <w:rsid w:val="00031939"/>
    <w:rsid w:val="00032D25"/>
    <w:rsid w:val="0005129D"/>
    <w:rsid w:val="0005219D"/>
    <w:rsid w:val="0005568F"/>
    <w:rsid w:val="000561A2"/>
    <w:rsid w:val="0006153D"/>
    <w:rsid w:val="00061B1F"/>
    <w:rsid w:val="00062162"/>
    <w:rsid w:val="000664DB"/>
    <w:rsid w:val="0007127D"/>
    <w:rsid w:val="00071AE5"/>
    <w:rsid w:val="00074783"/>
    <w:rsid w:val="00076927"/>
    <w:rsid w:val="000801E0"/>
    <w:rsid w:val="00082A29"/>
    <w:rsid w:val="0008331D"/>
    <w:rsid w:val="00083C18"/>
    <w:rsid w:val="00092899"/>
    <w:rsid w:val="000A178E"/>
    <w:rsid w:val="000A557E"/>
    <w:rsid w:val="000B058F"/>
    <w:rsid w:val="000B693F"/>
    <w:rsid w:val="000C09AC"/>
    <w:rsid w:val="000C0A63"/>
    <w:rsid w:val="000C437E"/>
    <w:rsid w:val="000C5A1B"/>
    <w:rsid w:val="000D1DA0"/>
    <w:rsid w:val="000E2248"/>
    <w:rsid w:val="000E5F16"/>
    <w:rsid w:val="000F4452"/>
    <w:rsid w:val="000F6DA1"/>
    <w:rsid w:val="000F701B"/>
    <w:rsid w:val="001023B9"/>
    <w:rsid w:val="001056A0"/>
    <w:rsid w:val="001071A9"/>
    <w:rsid w:val="0011109B"/>
    <w:rsid w:val="00115279"/>
    <w:rsid w:val="00117459"/>
    <w:rsid w:val="0011749A"/>
    <w:rsid w:val="00127A68"/>
    <w:rsid w:val="0014043A"/>
    <w:rsid w:val="001409B4"/>
    <w:rsid w:val="00140B13"/>
    <w:rsid w:val="00141B68"/>
    <w:rsid w:val="001466DA"/>
    <w:rsid w:val="00154DE1"/>
    <w:rsid w:val="00155B40"/>
    <w:rsid w:val="00157435"/>
    <w:rsid w:val="00163EEA"/>
    <w:rsid w:val="001657F9"/>
    <w:rsid w:val="00167A07"/>
    <w:rsid w:val="0017046A"/>
    <w:rsid w:val="001704A3"/>
    <w:rsid w:val="0017504D"/>
    <w:rsid w:val="00177422"/>
    <w:rsid w:val="00184F10"/>
    <w:rsid w:val="00185546"/>
    <w:rsid w:val="0019146B"/>
    <w:rsid w:val="00194398"/>
    <w:rsid w:val="001A26D3"/>
    <w:rsid w:val="001A7D2A"/>
    <w:rsid w:val="001B574C"/>
    <w:rsid w:val="001C0AF9"/>
    <w:rsid w:val="001C155A"/>
    <w:rsid w:val="001C48C0"/>
    <w:rsid w:val="001D6726"/>
    <w:rsid w:val="001F3347"/>
    <w:rsid w:val="001F40EE"/>
    <w:rsid w:val="001F4119"/>
    <w:rsid w:val="001F4440"/>
    <w:rsid w:val="001F69E4"/>
    <w:rsid w:val="00206A65"/>
    <w:rsid w:val="00212D31"/>
    <w:rsid w:val="002130C7"/>
    <w:rsid w:val="002218A8"/>
    <w:rsid w:val="00222E65"/>
    <w:rsid w:val="0022306D"/>
    <w:rsid w:val="00226574"/>
    <w:rsid w:val="002278EC"/>
    <w:rsid w:val="00230A1D"/>
    <w:rsid w:val="002357C7"/>
    <w:rsid w:val="002367C4"/>
    <w:rsid w:val="00242DDD"/>
    <w:rsid w:val="00245564"/>
    <w:rsid w:val="00247612"/>
    <w:rsid w:val="0024776E"/>
    <w:rsid w:val="0025679E"/>
    <w:rsid w:val="00260C68"/>
    <w:rsid w:val="002648B0"/>
    <w:rsid w:val="00275271"/>
    <w:rsid w:val="0027535E"/>
    <w:rsid w:val="00275AA6"/>
    <w:rsid w:val="002807D5"/>
    <w:rsid w:val="00282CCD"/>
    <w:rsid w:val="00283F87"/>
    <w:rsid w:val="002A168C"/>
    <w:rsid w:val="002A2C48"/>
    <w:rsid w:val="002A3E59"/>
    <w:rsid w:val="002A3EED"/>
    <w:rsid w:val="002A4A39"/>
    <w:rsid w:val="002A5A17"/>
    <w:rsid w:val="002A6425"/>
    <w:rsid w:val="002B25BB"/>
    <w:rsid w:val="002B49E2"/>
    <w:rsid w:val="002B7B00"/>
    <w:rsid w:val="002B7C44"/>
    <w:rsid w:val="002C1388"/>
    <w:rsid w:val="002C3C6A"/>
    <w:rsid w:val="002D42DB"/>
    <w:rsid w:val="002E13A2"/>
    <w:rsid w:val="002E1F3A"/>
    <w:rsid w:val="002E298A"/>
    <w:rsid w:val="002F02A4"/>
    <w:rsid w:val="002F052D"/>
    <w:rsid w:val="002F272B"/>
    <w:rsid w:val="002F7C6D"/>
    <w:rsid w:val="003027E4"/>
    <w:rsid w:val="0030332C"/>
    <w:rsid w:val="00304046"/>
    <w:rsid w:val="00307DD4"/>
    <w:rsid w:val="00312296"/>
    <w:rsid w:val="0031340E"/>
    <w:rsid w:val="00313741"/>
    <w:rsid w:val="00316464"/>
    <w:rsid w:val="0032073A"/>
    <w:rsid w:val="00321D8E"/>
    <w:rsid w:val="003220A7"/>
    <w:rsid w:val="00323F09"/>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930F8"/>
    <w:rsid w:val="003A05C9"/>
    <w:rsid w:val="003A1948"/>
    <w:rsid w:val="003B152A"/>
    <w:rsid w:val="003B545B"/>
    <w:rsid w:val="003B551C"/>
    <w:rsid w:val="003B7829"/>
    <w:rsid w:val="003D3450"/>
    <w:rsid w:val="003D3EE9"/>
    <w:rsid w:val="003E73EE"/>
    <w:rsid w:val="003E7681"/>
    <w:rsid w:val="003F0809"/>
    <w:rsid w:val="003F2EF5"/>
    <w:rsid w:val="003F611C"/>
    <w:rsid w:val="003F755C"/>
    <w:rsid w:val="003F7D63"/>
    <w:rsid w:val="00406F01"/>
    <w:rsid w:val="00411B36"/>
    <w:rsid w:val="004121D7"/>
    <w:rsid w:val="00416D50"/>
    <w:rsid w:val="00417772"/>
    <w:rsid w:val="00420E6A"/>
    <w:rsid w:val="00433CA9"/>
    <w:rsid w:val="004340AD"/>
    <w:rsid w:val="0043521D"/>
    <w:rsid w:val="00442024"/>
    <w:rsid w:val="0044254C"/>
    <w:rsid w:val="00443F6A"/>
    <w:rsid w:val="00450A17"/>
    <w:rsid w:val="00454D52"/>
    <w:rsid w:val="00466321"/>
    <w:rsid w:val="004672AF"/>
    <w:rsid w:val="004727B0"/>
    <w:rsid w:val="0047614C"/>
    <w:rsid w:val="00480247"/>
    <w:rsid w:val="0048081D"/>
    <w:rsid w:val="0048117E"/>
    <w:rsid w:val="004855F6"/>
    <w:rsid w:val="00486EE4"/>
    <w:rsid w:val="00486F0C"/>
    <w:rsid w:val="00490D85"/>
    <w:rsid w:val="004943D1"/>
    <w:rsid w:val="00494670"/>
    <w:rsid w:val="004A0EB4"/>
    <w:rsid w:val="004A3823"/>
    <w:rsid w:val="004A59BB"/>
    <w:rsid w:val="004A7D5F"/>
    <w:rsid w:val="004B0928"/>
    <w:rsid w:val="004B0C28"/>
    <w:rsid w:val="004B43A3"/>
    <w:rsid w:val="004B4C49"/>
    <w:rsid w:val="004B58A5"/>
    <w:rsid w:val="004B63D9"/>
    <w:rsid w:val="004C0882"/>
    <w:rsid w:val="004C55BE"/>
    <w:rsid w:val="004D29D8"/>
    <w:rsid w:val="004D5552"/>
    <w:rsid w:val="004D5E0B"/>
    <w:rsid w:val="004E5B30"/>
    <w:rsid w:val="004F0779"/>
    <w:rsid w:val="004F1230"/>
    <w:rsid w:val="004F173F"/>
    <w:rsid w:val="004F177C"/>
    <w:rsid w:val="004F2DCE"/>
    <w:rsid w:val="005039CB"/>
    <w:rsid w:val="0050558F"/>
    <w:rsid w:val="005057E0"/>
    <w:rsid w:val="00506286"/>
    <w:rsid w:val="00510813"/>
    <w:rsid w:val="00511DE0"/>
    <w:rsid w:val="00516FB7"/>
    <w:rsid w:val="00517F02"/>
    <w:rsid w:val="00524547"/>
    <w:rsid w:val="00524F0B"/>
    <w:rsid w:val="005258A2"/>
    <w:rsid w:val="00530F7C"/>
    <w:rsid w:val="00534567"/>
    <w:rsid w:val="00534F43"/>
    <w:rsid w:val="00535A84"/>
    <w:rsid w:val="00536889"/>
    <w:rsid w:val="00542E07"/>
    <w:rsid w:val="00554A7B"/>
    <w:rsid w:val="0055572C"/>
    <w:rsid w:val="0056064F"/>
    <w:rsid w:val="00561B84"/>
    <w:rsid w:val="00562526"/>
    <w:rsid w:val="00571D98"/>
    <w:rsid w:val="005720AE"/>
    <w:rsid w:val="0058030D"/>
    <w:rsid w:val="00582045"/>
    <w:rsid w:val="00590AE3"/>
    <w:rsid w:val="005918F1"/>
    <w:rsid w:val="005A06B7"/>
    <w:rsid w:val="005A1759"/>
    <w:rsid w:val="005A4BD6"/>
    <w:rsid w:val="005A7CCA"/>
    <w:rsid w:val="005B56F0"/>
    <w:rsid w:val="005C0FC7"/>
    <w:rsid w:val="005D0369"/>
    <w:rsid w:val="005D53FE"/>
    <w:rsid w:val="005D7A0F"/>
    <w:rsid w:val="005E0438"/>
    <w:rsid w:val="005E1791"/>
    <w:rsid w:val="005E2CE6"/>
    <w:rsid w:val="005E6324"/>
    <w:rsid w:val="005F04BD"/>
    <w:rsid w:val="005F11F0"/>
    <w:rsid w:val="005F228B"/>
    <w:rsid w:val="005F29CD"/>
    <w:rsid w:val="005F4DFB"/>
    <w:rsid w:val="005F6CC0"/>
    <w:rsid w:val="00603E5B"/>
    <w:rsid w:val="00604BC8"/>
    <w:rsid w:val="00615B4C"/>
    <w:rsid w:val="00615B5D"/>
    <w:rsid w:val="0062146F"/>
    <w:rsid w:val="006343AF"/>
    <w:rsid w:val="0063634A"/>
    <w:rsid w:val="0064250D"/>
    <w:rsid w:val="006535EB"/>
    <w:rsid w:val="00657EC9"/>
    <w:rsid w:val="00663016"/>
    <w:rsid w:val="0066798F"/>
    <w:rsid w:val="00672103"/>
    <w:rsid w:val="00674605"/>
    <w:rsid w:val="006748B8"/>
    <w:rsid w:val="00682C16"/>
    <w:rsid w:val="0068535B"/>
    <w:rsid w:val="0068736E"/>
    <w:rsid w:val="0069211B"/>
    <w:rsid w:val="0069290A"/>
    <w:rsid w:val="00697032"/>
    <w:rsid w:val="006975AC"/>
    <w:rsid w:val="006A0FF9"/>
    <w:rsid w:val="006A15FB"/>
    <w:rsid w:val="006A72BF"/>
    <w:rsid w:val="006B332A"/>
    <w:rsid w:val="006B33BD"/>
    <w:rsid w:val="006C3F75"/>
    <w:rsid w:val="006D170E"/>
    <w:rsid w:val="006E06AF"/>
    <w:rsid w:val="006F1789"/>
    <w:rsid w:val="007015C3"/>
    <w:rsid w:val="0070517F"/>
    <w:rsid w:val="00706C5D"/>
    <w:rsid w:val="007118E6"/>
    <w:rsid w:val="00714436"/>
    <w:rsid w:val="007225C9"/>
    <w:rsid w:val="007238D6"/>
    <w:rsid w:val="00726FC9"/>
    <w:rsid w:val="007322B7"/>
    <w:rsid w:val="00735CD7"/>
    <w:rsid w:val="00745A43"/>
    <w:rsid w:val="00754034"/>
    <w:rsid w:val="00754BF1"/>
    <w:rsid w:val="00755A30"/>
    <w:rsid w:val="00755E1C"/>
    <w:rsid w:val="00756556"/>
    <w:rsid w:val="0076132B"/>
    <w:rsid w:val="007623AE"/>
    <w:rsid w:val="00765363"/>
    <w:rsid w:val="00770B19"/>
    <w:rsid w:val="00774FA0"/>
    <w:rsid w:val="00776620"/>
    <w:rsid w:val="00777B6D"/>
    <w:rsid w:val="00784855"/>
    <w:rsid w:val="00784F39"/>
    <w:rsid w:val="0078545C"/>
    <w:rsid w:val="00787C84"/>
    <w:rsid w:val="007906C4"/>
    <w:rsid w:val="00793994"/>
    <w:rsid w:val="007940EA"/>
    <w:rsid w:val="00794CCB"/>
    <w:rsid w:val="007967E8"/>
    <w:rsid w:val="007A63F2"/>
    <w:rsid w:val="007B68DE"/>
    <w:rsid w:val="007C1857"/>
    <w:rsid w:val="007C3586"/>
    <w:rsid w:val="007C514F"/>
    <w:rsid w:val="007D0F95"/>
    <w:rsid w:val="007D7ECB"/>
    <w:rsid w:val="007E1977"/>
    <w:rsid w:val="007E25A1"/>
    <w:rsid w:val="007E4BD2"/>
    <w:rsid w:val="007E5C68"/>
    <w:rsid w:val="007E7145"/>
    <w:rsid w:val="007E7C38"/>
    <w:rsid w:val="007F3916"/>
    <w:rsid w:val="007F6E3C"/>
    <w:rsid w:val="00801179"/>
    <w:rsid w:val="00802479"/>
    <w:rsid w:val="00804AEE"/>
    <w:rsid w:val="00805372"/>
    <w:rsid w:val="00805B7B"/>
    <w:rsid w:val="008078DC"/>
    <w:rsid w:val="0081293E"/>
    <w:rsid w:val="00813A46"/>
    <w:rsid w:val="00814FFB"/>
    <w:rsid w:val="00820568"/>
    <w:rsid w:val="00831A80"/>
    <w:rsid w:val="008332C8"/>
    <w:rsid w:val="00833743"/>
    <w:rsid w:val="008340A4"/>
    <w:rsid w:val="00836799"/>
    <w:rsid w:val="00837028"/>
    <w:rsid w:val="00837131"/>
    <w:rsid w:val="00840949"/>
    <w:rsid w:val="00845F57"/>
    <w:rsid w:val="00850E22"/>
    <w:rsid w:val="008521E0"/>
    <w:rsid w:val="008525B0"/>
    <w:rsid w:val="00867CBC"/>
    <w:rsid w:val="00876C30"/>
    <w:rsid w:val="00876F0D"/>
    <w:rsid w:val="00877017"/>
    <w:rsid w:val="008773C0"/>
    <w:rsid w:val="00880364"/>
    <w:rsid w:val="00884BC5"/>
    <w:rsid w:val="00886C4C"/>
    <w:rsid w:val="0088711C"/>
    <w:rsid w:val="00892ECF"/>
    <w:rsid w:val="00892F06"/>
    <w:rsid w:val="00893C3A"/>
    <w:rsid w:val="00894285"/>
    <w:rsid w:val="008A40AE"/>
    <w:rsid w:val="008A4E19"/>
    <w:rsid w:val="008A67C5"/>
    <w:rsid w:val="008B22E1"/>
    <w:rsid w:val="008B3C78"/>
    <w:rsid w:val="008B4AE9"/>
    <w:rsid w:val="008C0E90"/>
    <w:rsid w:val="008C30AD"/>
    <w:rsid w:val="008D068E"/>
    <w:rsid w:val="008D0F7A"/>
    <w:rsid w:val="008D63BE"/>
    <w:rsid w:val="008E0CFF"/>
    <w:rsid w:val="008E18D1"/>
    <w:rsid w:val="008E5D6B"/>
    <w:rsid w:val="008E689B"/>
    <w:rsid w:val="008E71BA"/>
    <w:rsid w:val="008E76F0"/>
    <w:rsid w:val="008F15FE"/>
    <w:rsid w:val="008F2A94"/>
    <w:rsid w:val="008F5187"/>
    <w:rsid w:val="008F709C"/>
    <w:rsid w:val="0090312B"/>
    <w:rsid w:val="00904961"/>
    <w:rsid w:val="00905279"/>
    <w:rsid w:val="0091736D"/>
    <w:rsid w:val="009262A2"/>
    <w:rsid w:val="00931001"/>
    <w:rsid w:val="00931863"/>
    <w:rsid w:val="00933524"/>
    <w:rsid w:val="0094278D"/>
    <w:rsid w:val="0095308A"/>
    <w:rsid w:val="00955AEE"/>
    <w:rsid w:val="00956F14"/>
    <w:rsid w:val="00960CD4"/>
    <w:rsid w:val="009620FD"/>
    <w:rsid w:val="0096247A"/>
    <w:rsid w:val="00965F4B"/>
    <w:rsid w:val="00970F8A"/>
    <w:rsid w:val="00971FB5"/>
    <w:rsid w:val="00972D2A"/>
    <w:rsid w:val="009731C2"/>
    <w:rsid w:val="00975CC5"/>
    <w:rsid w:val="00976328"/>
    <w:rsid w:val="00976B4E"/>
    <w:rsid w:val="00984458"/>
    <w:rsid w:val="00985283"/>
    <w:rsid w:val="00987322"/>
    <w:rsid w:val="009A0F3B"/>
    <w:rsid w:val="009A3D0B"/>
    <w:rsid w:val="009A72C7"/>
    <w:rsid w:val="009B0897"/>
    <w:rsid w:val="009C22A0"/>
    <w:rsid w:val="009D0852"/>
    <w:rsid w:val="009D1FBF"/>
    <w:rsid w:val="009D5083"/>
    <w:rsid w:val="009E0484"/>
    <w:rsid w:val="009E399C"/>
    <w:rsid w:val="009E43C1"/>
    <w:rsid w:val="009E7E95"/>
    <w:rsid w:val="009F116F"/>
    <w:rsid w:val="009F329E"/>
    <w:rsid w:val="009F4F75"/>
    <w:rsid w:val="009F7ED3"/>
    <w:rsid w:val="00A03607"/>
    <w:rsid w:val="00A047FF"/>
    <w:rsid w:val="00A04FEF"/>
    <w:rsid w:val="00A122CD"/>
    <w:rsid w:val="00A12A32"/>
    <w:rsid w:val="00A14071"/>
    <w:rsid w:val="00A14248"/>
    <w:rsid w:val="00A14947"/>
    <w:rsid w:val="00A16A68"/>
    <w:rsid w:val="00A21692"/>
    <w:rsid w:val="00A23DC5"/>
    <w:rsid w:val="00A26276"/>
    <w:rsid w:val="00A34028"/>
    <w:rsid w:val="00A35568"/>
    <w:rsid w:val="00A37056"/>
    <w:rsid w:val="00A4358F"/>
    <w:rsid w:val="00A46F67"/>
    <w:rsid w:val="00A54AA1"/>
    <w:rsid w:val="00A568FF"/>
    <w:rsid w:val="00A61496"/>
    <w:rsid w:val="00A61833"/>
    <w:rsid w:val="00A624C6"/>
    <w:rsid w:val="00A63CEC"/>
    <w:rsid w:val="00A7031E"/>
    <w:rsid w:val="00A71ED8"/>
    <w:rsid w:val="00A72539"/>
    <w:rsid w:val="00A728B1"/>
    <w:rsid w:val="00A72BD8"/>
    <w:rsid w:val="00A763DE"/>
    <w:rsid w:val="00A803D6"/>
    <w:rsid w:val="00A81282"/>
    <w:rsid w:val="00A827F1"/>
    <w:rsid w:val="00A8713F"/>
    <w:rsid w:val="00A91167"/>
    <w:rsid w:val="00A9171C"/>
    <w:rsid w:val="00A92FFD"/>
    <w:rsid w:val="00A95975"/>
    <w:rsid w:val="00A9708D"/>
    <w:rsid w:val="00AA2C17"/>
    <w:rsid w:val="00AA3AC5"/>
    <w:rsid w:val="00AA4172"/>
    <w:rsid w:val="00AB1914"/>
    <w:rsid w:val="00AB51D8"/>
    <w:rsid w:val="00AB5330"/>
    <w:rsid w:val="00AB7747"/>
    <w:rsid w:val="00AC2532"/>
    <w:rsid w:val="00AD1507"/>
    <w:rsid w:val="00AD5A70"/>
    <w:rsid w:val="00AD738B"/>
    <w:rsid w:val="00AE1BF4"/>
    <w:rsid w:val="00AE5D97"/>
    <w:rsid w:val="00AE6081"/>
    <w:rsid w:val="00AE6794"/>
    <w:rsid w:val="00B01110"/>
    <w:rsid w:val="00B02262"/>
    <w:rsid w:val="00B03CEC"/>
    <w:rsid w:val="00B10CAA"/>
    <w:rsid w:val="00B1209F"/>
    <w:rsid w:val="00B12AD0"/>
    <w:rsid w:val="00B21840"/>
    <w:rsid w:val="00B23C0C"/>
    <w:rsid w:val="00B24F30"/>
    <w:rsid w:val="00B31ABF"/>
    <w:rsid w:val="00B335AE"/>
    <w:rsid w:val="00B37CE1"/>
    <w:rsid w:val="00B40ACF"/>
    <w:rsid w:val="00B46BAA"/>
    <w:rsid w:val="00B50B5F"/>
    <w:rsid w:val="00B537FE"/>
    <w:rsid w:val="00B54128"/>
    <w:rsid w:val="00B55826"/>
    <w:rsid w:val="00B60426"/>
    <w:rsid w:val="00B622DD"/>
    <w:rsid w:val="00B63522"/>
    <w:rsid w:val="00B7174C"/>
    <w:rsid w:val="00B76F1D"/>
    <w:rsid w:val="00B92A19"/>
    <w:rsid w:val="00B9544C"/>
    <w:rsid w:val="00BA29E9"/>
    <w:rsid w:val="00BB3618"/>
    <w:rsid w:val="00BC0C9E"/>
    <w:rsid w:val="00BC1329"/>
    <w:rsid w:val="00BC32DC"/>
    <w:rsid w:val="00BC6801"/>
    <w:rsid w:val="00BD1B51"/>
    <w:rsid w:val="00BD47F6"/>
    <w:rsid w:val="00BE312D"/>
    <w:rsid w:val="00BE3FCA"/>
    <w:rsid w:val="00BF529E"/>
    <w:rsid w:val="00C05719"/>
    <w:rsid w:val="00C06E19"/>
    <w:rsid w:val="00C10578"/>
    <w:rsid w:val="00C13937"/>
    <w:rsid w:val="00C17D62"/>
    <w:rsid w:val="00C2035D"/>
    <w:rsid w:val="00C20E7C"/>
    <w:rsid w:val="00C21FDC"/>
    <w:rsid w:val="00C24EE7"/>
    <w:rsid w:val="00C2596A"/>
    <w:rsid w:val="00C271BE"/>
    <w:rsid w:val="00C27425"/>
    <w:rsid w:val="00C328FE"/>
    <w:rsid w:val="00C33A05"/>
    <w:rsid w:val="00C35D1E"/>
    <w:rsid w:val="00C42500"/>
    <w:rsid w:val="00C4409D"/>
    <w:rsid w:val="00C455BE"/>
    <w:rsid w:val="00C51E5F"/>
    <w:rsid w:val="00C57BEC"/>
    <w:rsid w:val="00C61E4B"/>
    <w:rsid w:val="00C62E3A"/>
    <w:rsid w:val="00C636B7"/>
    <w:rsid w:val="00C64503"/>
    <w:rsid w:val="00C64A1F"/>
    <w:rsid w:val="00C64BFF"/>
    <w:rsid w:val="00C74A06"/>
    <w:rsid w:val="00C763C9"/>
    <w:rsid w:val="00C80057"/>
    <w:rsid w:val="00C80A9B"/>
    <w:rsid w:val="00C82C79"/>
    <w:rsid w:val="00C84753"/>
    <w:rsid w:val="00C90FE3"/>
    <w:rsid w:val="00C91611"/>
    <w:rsid w:val="00CA2C43"/>
    <w:rsid w:val="00CA3585"/>
    <w:rsid w:val="00CA3D5A"/>
    <w:rsid w:val="00CA4C7C"/>
    <w:rsid w:val="00CA5B58"/>
    <w:rsid w:val="00CB0183"/>
    <w:rsid w:val="00CB1EA3"/>
    <w:rsid w:val="00CB552C"/>
    <w:rsid w:val="00CB5B4C"/>
    <w:rsid w:val="00CB6A9E"/>
    <w:rsid w:val="00CC6181"/>
    <w:rsid w:val="00CD2BCD"/>
    <w:rsid w:val="00CD36AA"/>
    <w:rsid w:val="00CD3791"/>
    <w:rsid w:val="00CD65B0"/>
    <w:rsid w:val="00CD6E00"/>
    <w:rsid w:val="00CE02CD"/>
    <w:rsid w:val="00CE10E9"/>
    <w:rsid w:val="00CF7672"/>
    <w:rsid w:val="00D0072E"/>
    <w:rsid w:val="00D10623"/>
    <w:rsid w:val="00D15727"/>
    <w:rsid w:val="00D16332"/>
    <w:rsid w:val="00D24972"/>
    <w:rsid w:val="00D2515E"/>
    <w:rsid w:val="00D262F7"/>
    <w:rsid w:val="00D308ED"/>
    <w:rsid w:val="00D35311"/>
    <w:rsid w:val="00D463D4"/>
    <w:rsid w:val="00D52313"/>
    <w:rsid w:val="00D56178"/>
    <w:rsid w:val="00D56CF0"/>
    <w:rsid w:val="00D56F5C"/>
    <w:rsid w:val="00D64F5B"/>
    <w:rsid w:val="00D704B1"/>
    <w:rsid w:val="00D70B63"/>
    <w:rsid w:val="00D72B92"/>
    <w:rsid w:val="00D72ED4"/>
    <w:rsid w:val="00D73F61"/>
    <w:rsid w:val="00D754C0"/>
    <w:rsid w:val="00D7763D"/>
    <w:rsid w:val="00D776A2"/>
    <w:rsid w:val="00D801C4"/>
    <w:rsid w:val="00D90836"/>
    <w:rsid w:val="00D95896"/>
    <w:rsid w:val="00D95CC6"/>
    <w:rsid w:val="00DA089D"/>
    <w:rsid w:val="00DA1E4D"/>
    <w:rsid w:val="00DA2DA3"/>
    <w:rsid w:val="00DA6615"/>
    <w:rsid w:val="00DA76AE"/>
    <w:rsid w:val="00DB181E"/>
    <w:rsid w:val="00DB1C7A"/>
    <w:rsid w:val="00DB2983"/>
    <w:rsid w:val="00DB343D"/>
    <w:rsid w:val="00DB5579"/>
    <w:rsid w:val="00DB5CCD"/>
    <w:rsid w:val="00DB5CFE"/>
    <w:rsid w:val="00DC72A6"/>
    <w:rsid w:val="00DD2113"/>
    <w:rsid w:val="00DD265E"/>
    <w:rsid w:val="00DD48DD"/>
    <w:rsid w:val="00DF1930"/>
    <w:rsid w:val="00DF514A"/>
    <w:rsid w:val="00DF7B4C"/>
    <w:rsid w:val="00E0358D"/>
    <w:rsid w:val="00E06327"/>
    <w:rsid w:val="00E15BA0"/>
    <w:rsid w:val="00E2064B"/>
    <w:rsid w:val="00E25239"/>
    <w:rsid w:val="00E265B1"/>
    <w:rsid w:val="00E275B0"/>
    <w:rsid w:val="00E40666"/>
    <w:rsid w:val="00E412D0"/>
    <w:rsid w:val="00E47CDB"/>
    <w:rsid w:val="00E566BC"/>
    <w:rsid w:val="00E57F1C"/>
    <w:rsid w:val="00E60982"/>
    <w:rsid w:val="00E60C8D"/>
    <w:rsid w:val="00E6162F"/>
    <w:rsid w:val="00E6311B"/>
    <w:rsid w:val="00E65D97"/>
    <w:rsid w:val="00E66A7E"/>
    <w:rsid w:val="00E67EFD"/>
    <w:rsid w:val="00E702DC"/>
    <w:rsid w:val="00E719D1"/>
    <w:rsid w:val="00E71FFB"/>
    <w:rsid w:val="00E76D1D"/>
    <w:rsid w:val="00E806F8"/>
    <w:rsid w:val="00E86BC6"/>
    <w:rsid w:val="00E87752"/>
    <w:rsid w:val="00E8793B"/>
    <w:rsid w:val="00E90F81"/>
    <w:rsid w:val="00E91A6D"/>
    <w:rsid w:val="00E9242D"/>
    <w:rsid w:val="00E92DE3"/>
    <w:rsid w:val="00EA6027"/>
    <w:rsid w:val="00EB041C"/>
    <w:rsid w:val="00EC5874"/>
    <w:rsid w:val="00ED10CF"/>
    <w:rsid w:val="00ED192D"/>
    <w:rsid w:val="00ED30B4"/>
    <w:rsid w:val="00ED31F5"/>
    <w:rsid w:val="00EE3FD3"/>
    <w:rsid w:val="00EE6E1D"/>
    <w:rsid w:val="00EF2759"/>
    <w:rsid w:val="00EF45EB"/>
    <w:rsid w:val="00EF5099"/>
    <w:rsid w:val="00EF5E33"/>
    <w:rsid w:val="00F00075"/>
    <w:rsid w:val="00F07822"/>
    <w:rsid w:val="00F15C95"/>
    <w:rsid w:val="00F22985"/>
    <w:rsid w:val="00F241AB"/>
    <w:rsid w:val="00F26159"/>
    <w:rsid w:val="00F31382"/>
    <w:rsid w:val="00F35829"/>
    <w:rsid w:val="00F36C29"/>
    <w:rsid w:val="00F37D5C"/>
    <w:rsid w:val="00F42868"/>
    <w:rsid w:val="00F465A7"/>
    <w:rsid w:val="00F4700A"/>
    <w:rsid w:val="00F50B7C"/>
    <w:rsid w:val="00F5202D"/>
    <w:rsid w:val="00F52CF6"/>
    <w:rsid w:val="00F54496"/>
    <w:rsid w:val="00F61097"/>
    <w:rsid w:val="00F64C83"/>
    <w:rsid w:val="00F70BAA"/>
    <w:rsid w:val="00F74345"/>
    <w:rsid w:val="00F74441"/>
    <w:rsid w:val="00F77F30"/>
    <w:rsid w:val="00F82589"/>
    <w:rsid w:val="00F827CB"/>
    <w:rsid w:val="00F82B19"/>
    <w:rsid w:val="00F90AA7"/>
    <w:rsid w:val="00F9212D"/>
    <w:rsid w:val="00FA028B"/>
    <w:rsid w:val="00FA301A"/>
    <w:rsid w:val="00FA406A"/>
    <w:rsid w:val="00FA5CB6"/>
    <w:rsid w:val="00FB33F9"/>
    <w:rsid w:val="00FC66AC"/>
    <w:rsid w:val="00FD18F4"/>
    <w:rsid w:val="00FD74B4"/>
    <w:rsid w:val="00FF6FCE"/>
    <w:rsid w:val="00FF7518"/>
    <w:rsid w:val="00FF7FD8"/>
    <w:rsid w:val="011B0745"/>
    <w:rsid w:val="01C338D1"/>
    <w:rsid w:val="02736001"/>
    <w:rsid w:val="029C1412"/>
    <w:rsid w:val="02BE71F2"/>
    <w:rsid w:val="03361E7B"/>
    <w:rsid w:val="03EE3EEF"/>
    <w:rsid w:val="03FF37B7"/>
    <w:rsid w:val="048B5BE2"/>
    <w:rsid w:val="04BF289C"/>
    <w:rsid w:val="04DD3213"/>
    <w:rsid w:val="053A3164"/>
    <w:rsid w:val="05742AC8"/>
    <w:rsid w:val="06352F05"/>
    <w:rsid w:val="063E7D85"/>
    <w:rsid w:val="066B7191"/>
    <w:rsid w:val="070875E0"/>
    <w:rsid w:val="07293586"/>
    <w:rsid w:val="07295285"/>
    <w:rsid w:val="07770C56"/>
    <w:rsid w:val="090A0A89"/>
    <w:rsid w:val="092217DD"/>
    <w:rsid w:val="093A7294"/>
    <w:rsid w:val="0BD27BF6"/>
    <w:rsid w:val="0C051806"/>
    <w:rsid w:val="0C7B02EA"/>
    <w:rsid w:val="0C88659A"/>
    <w:rsid w:val="0D786F20"/>
    <w:rsid w:val="0E110D06"/>
    <w:rsid w:val="0E645FD4"/>
    <w:rsid w:val="0F110AE2"/>
    <w:rsid w:val="0F13775A"/>
    <w:rsid w:val="0F5258A1"/>
    <w:rsid w:val="0F994FC5"/>
    <w:rsid w:val="0F9A112B"/>
    <w:rsid w:val="106D2F64"/>
    <w:rsid w:val="10B63710"/>
    <w:rsid w:val="111C2F7A"/>
    <w:rsid w:val="113013DE"/>
    <w:rsid w:val="116747BD"/>
    <w:rsid w:val="11C92DBF"/>
    <w:rsid w:val="122B06C2"/>
    <w:rsid w:val="12AF6F40"/>
    <w:rsid w:val="12C26219"/>
    <w:rsid w:val="13951726"/>
    <w:rsid w:val="13CB16AC"/>
    <w:rsid w:val="13D60490"/>
    <w:rsid w:val="14396509"/>
    <w:rsid w:val="1447165C"/>
    <w:rsid w:val="14D5410C"/>
    <w:rsid w:val="15160E9C"/>
    <w:rsid w:val="17735226"/>
    <w:rsid w:val="17B063D7"/>
    <w:rsid w:val="17BA2861"/>
    <w:rsid w:val="19A40C0A"/>
    <w:rsid w:val="19AB1CF6"/>
    <w:rsid w:val="1A1C66C0"/>
    <w:rsid w:val="1A42393B"/>
    <w:rsid w:val="1AD4308C"/>
    <w:rsid w:val="1B046F80"/>
    <w:rsid w:val="1B21668B"/>
    <w:rsid w:val="1B3267B5"/>
    <w:rsid w:val="1BC25DC8"/>
    <w:rsid w:val="1BDE167F"/>
    <w:rsid w:val="1C5E7925"/>
    <w:rsid w:val="1C887FC8"/>
    <w:rsid w:val="1CD22F7D"/>
    <w:rsid w:val="1CDD28FB"/>
    <w:rsid w:val="1D5F6196"/>
    <w:rsid w:val="1D6132A5"/>
    <w:rsid w:val="1D8E56D5"/>
    <w:rsid w:val="1E7A43DA"/>
    <w:rsid w:val="1EB277FE"/>
    <w:rsid w:val="1FE7539E"/>
    <w:rsid w:val="20963CB8"/>
    <w:rsid w:val="20B07FB6"/>
    <w:rsid w:val="213B74B1"/>
    <w:rsid w:val="215A2310"/>
    <w:rsid w:val="218A3F2C"/>
    <w:rsid w:val="21DE318A"/>
    <w:rsid w:val="21EF5B80"/>
    <w:rsid w:val="21F1174E"/>
    <w:rsid w:val="22576990"/>
    <w:rsid w:val="22711B4B"/>
    <w:rsid w:val="22943A5C"/>
    <w:rsid w:val="229C4EAB"/>
    <w:rsid w:val="23A97D36"/>
    <w:rsid w:val="23D74548"/>
    <w:rsid w:val="23F32A04"/>
    <w:rsid w:val="24945F95"/>
    <w:rsid w:val="252D53FE"/>
    <w:rsid w:val="25EC2D81"/>
    <w:rsid w:val="260036C3"/>
    <w:rsid w:val="264528BD"/>
    <w:rsid w:val="265E3543"/>
    <w:rsid w:val="27145619"/>
    <w:rsid w:val="274350EF"/>
    <w:rsid w:val="27D15DD1"/>
    <w:rsid w:val="289C18BC"/>
    <w:rsid w:val="28A76295"/>
    <w:rsid w:val="29206EB8"/>
    <w:rsid w:val="29531E94"/>
    <w:rsid w:val="298C373E"/>
    <w:rsid w:val="29BB26E5"/>
    <w:rsid w:val="29E325E0"/>
    <w:rsid w:val="2A353411"/>
    <w:rsid w:val="2A452503"/>
    <w:rsid w:val="2B1060A4"/>
    <w:rsid w:val="2B2A31B0"/>
    <w:rsid w:val="2BA936A8"/>
    <w:rsid w:val="2C315A5A"/>
    <w:rsid w:val="2C6C7523"/>
    <w:rsid w:val="2CCF2862"/>
    <w:rsid w:val="2CD07D87"/>
    <w:rsid w:val="2CE633FE"/>
    <w:rsid w:val="2D9E56F5"/>
    <w:rsid w:val="2E667F96"/>
    <w:rsid w:val="2E8226AB"/>
    <w:rsid w:val="2F832C79"/>
    <w:rsid w:val="2FE06533"/>
    <w:rsid w:val="2FEB5CCB"/>
    <w:rsid w:val="2FEF2D58"/>
    <w:rsid w:val="30580BC9"/>
    <w:rsid w:val="30794CA9"/>
    <w:rsid w:val="311E2ED7"/>
    <w:rsid w:val="315C449C"/>
    <w:rsid w:val="31B82709"/>
    <w:rsid w:val="31D64330"/>
    <w:rsid w:val="31E91FB0"/>
    <w:rsid w:val="31F34D17"/>
    <w:rsid w:val="31FA7F8F"/>
    <w:rsid w:val="32400B34"/>
    <w:rsid w:val="328C6723"/>
    <w:rsid w:val="329E6876"/>
    <w:rsid w:val="33D934D4"/>
    <w:rsid w:val="33FE2F6A"/>
    <w:rsid w:val="340F037E"/>
    <w:rsid w:val="34DF325D"/>
    <w:rsid w:val="35F05BDE"/>
    <w:rsid w:val="36074A7F"/>
    <w:rsid w:val="36546892"/>
    <w:rsid w:val="366B16F7"/>
    <w:rsid w:val="36923549"/>
    <w:rsid w:val="36B75FBF"/>
    <w:rsid w:val="36C25CB6"/>
    <w:rsid w:val="36FB4891"/>
    <w:rsid w:val="36FB79E7"/>
    <w:rsid w:val="375B6DF0"/>
    <w:rsid w:val="37D7646D"/>
    <w:rsid w:val="38213B8C"/>
    <w:rsid w:val="38F12CD3"/>
    <w:rsid w:val="38F231CB"/>
    <w:rsid w:val="38F94775"/>
    <w:rsid w:val="392971ED"/>
    <w:rsid w:val="3A526C5D"/>
    <w:rsid w:val="3B3763D1"/>
    <w:rsid w:val="3BA844B0"/>
    <w:rsid w:val="3C05791A"/>
    <w:rsid w:val="3C186606"/>
    <w:rsid w:val="3C9818D5"/>
    <w:rsid w:val="3CDA245A"/>
    <w:rsid w:val="3CEE0A37"/>
    <w:rsid w:val="3D5F4CAF"/>
    <w:rsid w:val="3DC727DF"/>
    <w:rsid w:val="3E4B178B"/>
    <w:rsid w:val="3F660E74"/>
    <w:rsid w:val="407A6407"/>
    <w:rsid w:val="408E1D31"/>
    <w:rsid w:val="41592815"/>
    <w:rsid w:val="41C862D2"/>
    <w:rsid w:val="41DC791D"/>
    <w:rsid w:val="423A3BCC"/>
    <w:rsid w:val="423D7B91"/>
    <w:rsid w:val="42C15158"/>
    <w:rsid w:val="433A6FE6"/>
    <w:rsid w:val="4350713C"/>
    <w:rsid w:val="436653E0"/>
    <w:rsid w:val="43BF5528"/>
    <w:rsid w:val="44B466DF"/>
    <w:rsid w:val="44CD14E0"/>
    <w:rsid w:val="44F85C75"/>
    <w:rsid w:val="44F93EC7"/>
    <w:rsid w:val="45106740"/>
    <w:rsid w:val="451A7D74"/>
    <w:rsid w:val="453942C3"/>
    <w:rsid w:val="458946E9"/>
    <w:rsid w:val="45FE2D66"/>
    <w:rsid w:val="46D955A7"/>
    <w:rsid w:val="47133957"/>
    <w:rsid w:val="47350BAD"/>
    <w:rsid w:val="4779329E"/>
    <w:rsid w:val="47A07E0C"/>
    <w:rsid w:val="47BF1961"/>
    <w:rsid w:val="485251CE"/>
    <w:rsid w:val="485851F0"/>
    <w:rsid w:val="4870272E"/>
    <w:rsid w:val="49DC7715"/>
    <w:rsid w:val="4A023139"/>
    <w:rsid w:val="4A616416"/>
    <w:rsid w:val="4A7B576F"/>
    <w:rsid w:val="4ADF3B5F"/>
    <w:rsid w:val="4C0C226F"/>
    <w:rsid w:val="4C4A0649"/>
    <w:rsid w:val="4CB3257E"/>
    <w:rsid w:val="4CE470D3"/>
    <w:rsid w:val="4D09024D"/>
    <w:rsid w:val="4D116E47"/>
    <w:rsid w:val="4D8B1D7C"/>
    <w:rsid w:val="4DEC4FB0"/>
    <w:rsid w:val="4E075D8A"/>
    <w:rsid w:val="4EF75830"/>
    <w:rsid w:val="4F761381"/>
    <w:rsid w:val="4F951F7E"/>
    <w:rsid w:val="4FC62A8C"/>
    <w:rsid w:val="4FE20F0D"/>
    <w:rsid w:val="50504C4B"/>
    <w:rsid w:val="509C6E7C"/>
    <w:rsid w:val="50A04105"/>
    <w:rsid w:val="5162104E"/>
    <w:rsid w:val="521340EE"/>
    <w:rsid w:val="52BA27BB"/>
    <w:rsid w:val="53430152"/>
    <w:rsid w:val="5354676C"/>
    <w:rsid w:val="53A039CC"/>
    <w:rsid w:val="53A1505A"/>
    <w:rsid w:val="53BC2CEE"/>
    <w:rsid w:val="53C11B29"/>
    <w:rsid w:val="54063E08"/>
    <w:rsid w:val="543437E8"/>
    <w:rsid w:val="54DF17B5"/>
    <w:rsid w:val="559B174B"/>
    <w:rsid w:val="55CE0CF4"/>
    <w:rsid w:val="55F11062"/>
    <w:rsid w:val="56903F5F"/>
    <w:rsid w:val="56B22A9C"/>
    <w:rsid w:val="56F12916"/>
    <w:rsid w:val="57224C00"/>
    <w:rsid w:val="57B72A76"/>
    <w:rsid w:val="598E5721"/>
    <w:rsid w:val="5A3C747D"/>
    <w:rsid w:val="5A6516AD"/>
    <w:rsid w:val="5ABE2233"/>
    <w:rsid w:val="5B276D18"/>
    <w:rsid w:val="5BDF5D95"/>
    <w:rsid w:val="5CF8460C"/>
    <w:rsid w:val="5D613C65"/>
    <w:rsid w:val="5DF87A0F"/>
    <w:rsid w:val="5E0B52B6"/>
    <w:rsid w:val="5E525A0B"/>
    <w:rsid w:val="5EAC5863"/>
    <w:rsid w:val="5EB13DB2"/>
    <w:rsid w:val="5F1A2B43"/>
    <w:rsid w:val="5FB837BB"/>
    <w:rsid w:val="60091ACC"/>
    <w:rsid w:val="60B77FA4"/>
    <w:rsid w:val="61217DA3"/>
    <w:rsid w:val="61945FB0"/>
    <w:rsid w:val="62100408"/>
    <w:rsid w:val="62364782"/>
    <w:rsid w:val="626C5880"/>
    <w:rsid w:val="632905BE"/>
    <w:rsid w:val="633A0AC0"/>
    <w:rsid w:val="633F22D2"/>
    <w:rsid w:val="63D40BE9"/>
    <w:rsid w:val="63E0211F"/>
    <w:rsid w:val="64F32289"/>
    <w:rsid w:val="6511270F"/>
    <w:rsid w:val="65373578"/>
    <w:rsid w:val="657809E0"/>
    <w:rsid w:val="6665218B"/>
    <w:rsid w:val="6723620E"/>
    <w:rsid w:val="673F2C7A"/>
    <w:rsid w:val="67617ED3"/>
    <w:rsid w:val="681F6961"/>
    <w:rsid w:val="68610A2F"/>
    <w:rsid w:val="68805514"/>
    <w:rsid w:val="694E2071"/>
    <w:rsid w:val="697A3B33"/>
    <w:rsid w:val="699E2456"/>
    <w:rsid w:val="6A192D06"/>
    <w:rsid w:val="6B322639"/>
    <w:rsid w:val="6B4C5627"/>
    <w:rsid w:val="6BB65DBE"/>
    <w:rsid w:val="6C636C38"/>
    <w:rsid w:val="6D04604F"/>
    <w:rsid w:val="6D607BC3"/>
    <w:rsid w:val="6DB000AE"/>
    <w:rsid w:val="6DB34098"/>
    <w:rsid w:val="6DB545B6"/>
    <w:rsid w:val="6DE457F5"/>
    <w:rsid w:val="6E4375A0"/>
    <w:rsid w:val="6E514CED"/>
    <w:rsid w:val="6E79491A"/>
    <w:rsid w:val="6EB563D5"/>
    <w:rsid w:val="6EC0720E"/>
    <w:rsid w:val="6ECA4B14"/>
    <w:rsid w:val="6F225983"/>
    <w:rsid w:val="6F9A0BF4"/>
    <w:rsid w:val="6FFC5590"/>
    <w:rsid w:val="70301DA3"/>
    <w:rsid w:val="706D1DD0"/>
    <w:rsid w:val="70761FC0"/>
    <w:rsid w:val="70856B87"/>
    <w:rsid w:val="70D527EE"/>
    <w:rsid w:val="711D41EA"/>
    <w:rsid w:val="715B5300"/>
    <w:rsid w:val="715F4BD7"/>
    <w:rsid w:val="719665B7"/>
    <w:rsid w:val="71981AC5"/>
    <w:rsid w:val="71D27F8A"/>
    <w:rsid w:val="71F744C6"/>
    <w:rsid w:val="71F960CF"/>
    <w:rsid w:val="731F5D5E"/>
    <w:rsid w:val="734A18DD"/>
    <w:rsid w:val="740022CC"/>
    <w:rsid w:val="741E793C"/>
    <w:rsid w:val="752D18E9"/>
    <w:rsid w:val="758D75E2"/>
    <w:rsid w:val="759C6025"/>
    <w:rsid w:val="75B9006C"/>
    <w:rsid w:val="75DD1239"/>
    <w:rsid w:val="76547160"/>
    <w:rsid w:val="76FD4BBF"/>
    <w:rsid w:val="770C7339"/>
    <w:rsid w:val="775070C7"/>
    <w:rsid w:val="77762421"/>
    <w:rsid w:val="780F09F4"/>
    <w:rsid w:val="785438A4"/>
    <w:rsid w:val="786F3A75"/>
    <w:rsid w:val="789C4F47"/>
    <w:rsid w:val="78A90480"/>
    <w:rsid w:val="79811327"/>
    <w:rsid w:val="79EB1329"/>
    <w:rsid w:val="7A364017"/>
    <w:rsid w:val="7A8265E1"/>
    <w:rsid w:val="7A8D418E"/>
    <w:rsid w:val="7B686D42"/>
    <w:rsid w:val="7B841746"/>
    <w:rsid w:val="7BEC5BB6"/>
    <w:rsid w:val="7C142DB9"/>
    <w:rsid w:val="7C927EF8"/>
    <w:rsid w:val="7C943A8A"/>
    <w:rsid w:val="7D0239FF"/>
    <w:rsid w:val="7D1E3EA3"/>
    <w:rsid w:val="7D5E40CD"/>
    <w:rsid w:val="7D693BED"/>
    <w:rsid w:val="7E835FD4"/>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9"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qFormat="1"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3"/>
    <w:next w:val="1"/>
    <w:qFormat/>
    <w:uiPriority w:val="0"/>
    <w:pPr>
      <w:overflowPunct w:val="0"/>
      <w:adjustRightInd w:val="0"/>
      <w:snapToGrid w:val="0"/>
      <w:ind w:hanging="432"/>
      <w:outlineLvl w:val="0"/>
    </w:pPr>
    <w:rPr>
      <w:color w:val="000000"/>
      <w:kern w:val="44"/>
    </w:rPr>
  </w:style>
  <w:style w:type="paragraph" w:styleId="3">
    <w:name w:val="heading 2"/>
    <w:basedOn w:val="4"/>
    <w:qFormat/>
    <w:locked/>
    <w:uiPriority w:val="0"/>
    <w:pPr>
      <w:keepNext/>
      <w:keepLines/>
      <w:outlineLvl w:val="1"/>
    </w:pPr>
  </w:style>
  <w:style w:type="paragraph" w:styleId="4">
    <w:name w:val="heading 3"/>
    <w:basedOn w:val="1"/>
    <w:next w:val="1"/>
    <w:qFormat/>
    <w:locked/>
    <w:uiPriority w:val="0"/>
    <w:pPr>
      <w:jc w:val="left"/>
      <w:outlineLvl w:val="2"/>
    </w:pPr>
    <w:rPr>
      <w:b/>
    </w:rPr>
  </w:style>
  <w:style w:type="paragraph" w:styleId="5">
    <w:name w:val="heading 4"/>
    <w:basedOn w:val="1"/>
    <w:next w:val="1"/>
    <w:unhideWhenUsed/>
    <w:qFormat/>
    <w:locked/>
    <w:uiPriority w:val="9"/>
    <w:pPr>
      <w:keepNext/>
      <w:keepLines/>
      <w:numPr>
        <w:ilvl w:val="3"/>
        <w:numId w:val="1"/>
      </w:numPr>
      <w:tabs>
        <w:tab w:val="left" w:pos="0"/>
      </w:tabs>
      <w:ind w:firstLineChars="0"/>
      <w:outlineLvl w:val="3"/>
    </w:pPr>
    <w:rPr>
      <w:b/>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2"/>
    <w:qFormat/>
    <w:uiPriority w:val="0"/>
    <w:pPr>
      <w:jc w:val="left"/>
    </w:pPr>
  </w:style>
  <w:style w:type="paragraph" w:styleId="7">
    <w:name w:val="Body Text"/>
    <w:basedOn w:val="1"/>
    <w:link w:val="28"/>
    <w:qFormat/>
    <w:uiPriority w:val="1"/>
    <w:pPr>
      <w:spacing w:before="161" w:line="240" w:lineRule="auto"/>
      <w:ind w:left="1800" w:firstLine="0" w:firstLineChars="0"/>
      <w:jc w:val="left"/>
    </w:pPr>
    <w:rPr>
      <w:rFonts w:ascii="宋体" w:hAnsi="宋体" w:cs="宋体"/>
      <w:kern w:val="0"/>
      <w:lang w:eastAsia="en-US"/>
    </w:rPr>
  </w:style>
  <w:style w:type="paragraph" w:styleId="8">
    <w:name w:val="footer"/>
    <w:basedOn w:val="1"/>
    <w:link w:val="26"/>
    <w:qFormat/>
    <w:uiPriority w:val="99"/>
    <w:pPr>
      <w:tabs>
        <w:tab w:val="center" w:pos="4153"/>
        <w:tab w:val="right" w:pos="8306"/>
      </w:tabs>
      <w:snapToGrid w:val="0"/>
      <w:spacing w:line="240" w:lineRule="auto"/>
      <w:jc w:val="left"/>
    </w:pPr>
    <w:rPr>
      <w:sz w:val="18"/>
      <w:szCs w:val="18"/>
    </w:rPr>
  </w:style>
  <w:style w:type="paragraph" w:styleId="9">
    <w:name w:val="header"/>
    <w:basedOn w:val="1"/>
    <w:link w:val="25"/>
    <w:qFormat/>
    <w:uiPriority w:val="0"/>
    <w:pPr>
      <w:tabs>
        <w:tab w:val="center" w:pos="4153"/>
        <w:tab w:val="right" w:pos="8306"/>
      </w:tabs>
      <w:snapToGrid w:val="0"/>
      <w:spacing w:line="240" w:lineRule="auto"/>
      <w:jc w:val="center"/>
    </w:pPr>
    <w:rPr>
      <w:sz w:val="18"/>
      <w:szCs w:val="18"/>
    </w:rPr>
  </w:style>
  <w:style w:type="paragraph" w:styleId="10">
    <w:name w:val="annotation subject"/>
    <w:basedOn w:val="6"/>
    <w:next w:val="6"/>
    <w:link w:val="23"/>
    <w:qFormat/>
    <w:uiPriority w:val="0"/>
    <w:rPr>
      <w:b/>
      <w:bCs/>
    </w:rPr>
  </w:style>
  <w:style w:type="paragraph" w:styleId="11">
    <w:name w:val="Body Text First Indent"/>
    <w:basedOn w:val="7"/>
    <w:link w:val="30"/>
    <w:qFormat/>
    <w:uiPriority w:val="99"/>
    <w:pPr>
      <w:widowControl/>
      <w:autoSpaceDE/>
      <w:autoSpaceDN/>
      <w:spacing w:before="0" w:after="120"/>
      <w:ind w:left="0" w:firstLine="420" w:firstLineChars="100"/>
    </w:pPr>
    <w:rPr>
      <w:rFonts w:ascii="Times New Roman" w:hAnsi="Times New Roman" w:cs="Times New Roman"/>
      <w:kern w:val="2"/>
      <w:lang w:eastAsia="zh-CN"/>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customStyle="1" w:styleId="16">
    <w:name w:val="表格"/>
    <w:basedOn w:val="1"/>
    <w:next w:val="1"/>
    <w:link w:val="18"/>
    <w:qFormat/>
    <w:uiPriority w:val="0"/>
    <w:pPr>
      <w:adjustRightInd w:val="0"/>
      <w:snapToGrid w:val="0"/>
      <w:spacing w:line="240" w:lineRule="auto"/>
      <w:ind w:firstLine="0" w:firstLineChars="0"/>
    </w:pPr>
    <w:rPr>
      <w:kern w:val="0"/>
      <w:sz w:val="21"/>
      <w:szCs w:val="21"/>
    </w:rPr>
  </w:style>
  <w:style w:type="paragraph" w:customStyle="1" w:styleId="17">
    <w:name w:val="表头"/>
    <w:basedOn w:val="1"/>
    <w:qFormat/>
    <w:uiPriority w:val="0"/>
    <w:pPr>
      <w:autoSpaceDE/>
      <w:autoSpaceDN/>
      <w:adjustRightInd w:val="0"/>
      <w:snapToGrid w:val="0"/>
      <w:spacing w:line="440" w:lineRule="exact"/>
      <w:ind w:firstLine="0" w:firstLineChars="0"/>
      <w:jc w:val="center"/>
    </w:pPr>
    <w:rPr>
      <w:rFonts w:hint="eastAsia" w:eastAsia="黑体"/>
      <w:bCs/>
      <w:sz w:val="21"/>
      <w:szCs w:val="21"/>
    </w:rPr>
  </w:style>
  <w:style w:type="character" w:customStyle="1" w:styleId="18">
    <w:name w:val="表格 Char"/>
    <w:link w:val="16"/>
    <w:qFormat/>
    <w:locked/>
    <w:uiPriority w:val="0"/>
    <w:rPr>
      <w:rFonts w:ascii="Times New Roman" w:hAnsi="Times New Roman" w:eastAsia="宋体"/>
      <w:sz w:val="21"/>
    </w:rPr>
  </w:style>
  <w:style w:type="table" w:customStyle="1" w:styleId="19">
    <w:name w:val="Table Normal"/>
    <w:unhideWhenUsed/>
    <w:qFormat/>
    <w:uiPriority w:val="2"/>
    <w:tblPr>
      <w:tblCellMar>
        <w:top w:w="0" w:type="dxa"/>
        <w:left w:w="0" w:type="dxa"/>
        <w:bottom w:w="0" w:type="dxa"/>
        <w:right w:w="0" w:type="dxa"/>
      </w:tblCellMar>
    </w:tblPr>
  </w:style>
  <w:style w:type="table" w:customStyle="1" w:styleId="20">
    <w:name w:val="Table Grid_0"/>
    <w:basedOn w:val="12"/>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三线表"/>
    <w:basedOn w:val="12"/>
    <w:qFormat/>
    <w:uiPriority w:val="99"/>
    <w:pPr>
      <w:widowControl w:val="0"/>
      <w:wordWrap w:val="0"/>
      <w:topLinePunct/>
      <w:contextualSpacing/>
      <w:jc w:val="center"/>
      <w:textAlignment w:val="center"/>
    </w:pPr>
    <w:rPr>
      <w:sz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tblStylePr w:type="firstRow">
      <w:rPr>
        <w:rFonts w:ascii="Times New Roman" w:hAnsi="Times New Roman" w:eastAsia="宋体"/>
        <w:b/>
      </w:rPr>
      <w:tcPr>
        <w:tcBorders>
          <w:top w:val="nil"/>
          <w:left w:val="nil"/>
          <w:bottom w:val="single" w:color="auto" w:sz="4" w:space="0"/>
          <w:right w:val="nil"/>
          <w:insideH w:val="nil"/>
          <w:insideV w:val="nil"/>
          <w:tl2br w:val="nil"/>
          <w:tr2bl w:val="nil"/>
        </w:tcBorders>
      </w:tcPr>
    </w:tblStylePr>
  </w:style>
  <w:style w:type="character" w:customStyle="1" w:styleId="22">
    <w:name w:val="批注文字 字符"/>
    <w:basedOn w:val="14"/>
    <w:link w:val="6"/>
    <w:qFormat/>
    <w:uiPriority w:val="0"/>
    <w:rPr>
      <w:kern w:val="2"/>
      <w:sz w:val="24"/>
      <w:szCs w:val="24"/>
    </w:rPr>
  </w:style>
  <w:style w:type="character" w:customStyle="1" w:styleId="23">
    <w:name w:val="批注主题 字符"/>
    <w:basedOn w:val="22"/>
    <w:link w:val="10"/>
    <w:qFormat/>
    <w:uiPriority w:val="0"/>
    <w:rPr>
      <w:b/>
      <w:bCs/>
      <w:kern w:val="2"/>
      <w:sz w:val="24"/>
      <w:szCs w:val="24"/>
    </w:rPr>
  </w:style>
  <w:style w:type="paragraph" w:customStyle="1" w:styleId="24">
    <w:name w:val="Revision"/>
    <w:hidden/>
    <w:unhideWhenUsed/>
    <w:qFormat/>
    <w:uiPriority w:val="99"/>
    <w:rPr>
      <w:rFonts w:ascii="Times New Roman" w:hAnsi="Times New Roman" w:eastAsia="宋体" w:cs="Times New Roman"/>
      <w:kern w:val="2"/>
      <w:sz w:val="24"/>
      <w:szCs w:val="24"/>
      <w:lang w:val="en-US" w:eastAsia="zh-CN" w:bidi="ar-SA"/>
    </w:rPr>
  </w:style>
  <w:style w:type="character" w:customStyle="1" w:styleId="25">
    <w:name w:val="页眉 字符"/>
    <w:basedOn w:val="14"/>
    <w:link w:val="9"/>
    <w:qFormat/>
    <w:uiPriority w:val="0"/>
    <w:rPr>
      <w:kern w:val="2"/>
      <w:sz w:val="18"/>
      <w:szCs w:val="18"/>
    </w:rPr>
  </w:style>
  <w:style w:type="character" w:customStyle="1" w:styleId="26">
    <w:name w:val="页脚 字符"/>
    <w:basedOn w:val="14"/>
    <w:link w:val="8"/>
    <w:qFormat/>
    <w:uiPriority w:val="99"/>
    <w:rPr>
      <w:kern w:val="2"/>
      <w:sz w:val="18"/>
      <w:szCs w:val="18"/>
    </w:rPr>
  </w:style>
  <w:style w:type="paragraph" w:customStyle="1" w:styleId="27">
    <w:name w:val="Table Paragraph"/>
    <w:basedOn w:val="1"/>
    <w:qFormat/>
    <w:uiPriority w:val="1"/>
    <w:pPr>
      <w:spacing w:line="240" w:lineRule="auto"/>
      <w:ind w:firstLine="0" w:firstLineChars="0"/>
      <w:jc w:val="center"/>
    </w:pPr>
    <w:rPr>
      <w:rFonts w:eastAsia="Times New Roman"/>
      <w:kern w:val="0"/>
      <w:sz w:val="22"/>
      <w:szCs w:val="22"/>
      <w:lang w:eastAsia="en-US"/>
    </w:rPr>
  </w:style>
  <w:style w:type="character" w:customStyle="1" w:styleId="28">
    <w:name w:val="正文文本 字符"/>
    <w:basedOn w:val="14"/>
    <w:link w:val="7"/>
    <w:qFormat/>
    <w:uiPriority w:val="1"/>
    <w:rPr>
      <w:rFonts w:ascii="宋体" w:hAnsi="宋体" w:cs="宋体"/>
      <w:sz w:val="24"/>
      <w:szCs w:val="24"/>
      <w:lang w:eastAsia="en-US"/>
    </w:rPr>
  </w:style>
  <w:style w:type="character" w:customStyle="1" w:styleId="29">
    <w:name w:val="正文文本首行缩进 字符"/>
    <w:basedOn w:val="28"/>
    <w:qFormat/>
    <w:uiPriority w:val="0"/>
    <w:rPr>
      <w:rFonts w:ascii="宋体" w:hAnsi="宋体" w:cs="宋体"/>
      <w:kern w:val="2"/>
      <w:sz w:val="24"/>
      <w:szCs w:val="24"/>
      <w:lang w:eastAsia="en-US"/>
    </w:rPr>
  </w:style>
  <w:style w:type="character" w:customStyle="1" w:styleId="30">
    <w:name w:val="正文文本首行缩进 字符1"/>
    <w:link w:val="11"/>
    <w:qFormat/>
    <w:uiPriority w:val="0"/>
    <w:rPr>
      <w:kern w:val="2"/>
      <w:sz w:val="24"/>
      <w:szCs w:val="24"/>
    </w:rPr>
  </w:style>
  <w:style w:type="paragraph" w:customStyle="1" w:styleId="31">
    <w:name w:val="_Style 30"/>
    <w:basedOn w:val="7"/>
    <w:next w:val="11"/>
    <w:qFormat/>
    <w:uiPriority w:val="99"/>
    <w:pPr>
      <w:widowControl/>
      <w:autoSpaceDE/>
      <w:autoSpaceDN/>
      <w:spacing w:before="0" w:after="120"/>
      <w:ind w:left="0" w:firstLine="420" w:firstLineChars="100"/>
    </w:pPr>
    <w:rPr>
      <w:rFonts w:ascii="Times New Roman" w:hAnsi="Times New Roman" w:cs="Times New Roman"/>
      <w:kern w:val="2"/>
      <w:lang w:eastAsia="zh-CN"/>
    </w:rPr>
  </w:style>
  <w:style w:type="character" w:customStyle="1" w:styleId="32">
    <w:name w:val="宋-正文 Char"/>
    <w:link w:val="33"/>
    <w:qFormat/>
    <w:uiPriority w:val="0"/>
    <w:rPr>
      <w:szCs w:val="24"/>
      <w:lang w:val="zh-CN" w:eastAsia="zh-CN"/>
    </w:rPr>
  </w:style>
  <w:style w:type="paragraph" w:customStyle="1" w:styleId="33">
    <w:name w:val="宋-正文"/>
    <w:basedOn w:val="1"/>
    <w:link w:val="32"/>
    <w:qFormat/>
    <w:uiPriority w:val="0"/>
    <w:pPr>
      <w:adjustRightInd w:val="0"/>
      <w:ind w:firstLine="420"/>
    </w:pPr>
    <w:rPr>
      <w:kern w:val="0"/>
      <w:sz w:val="20"/>
      <w:lang w:val="zh-CN" w:eastAsia="zh-CN"/>
    </w:rPr>
  </w:style>
  <w:style w:type="table" w:customStyle="1" w:styleId="34">
    <w:name w:val="自定义3"/>
    <w:basedOn w:val="12"/>
    <w:qFormat/>
    <w:uiPriority w:val="99"/>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35">
    <w:name w:val="宋-a表内字"/>
    <w:basedOn w:val="1"/>
    <w:link w:val="36"/>
    <w:qFormat/>
    <w:uiPriority w:val="1"/>
    <w:pPr>
      <w:autoSpaceDE/>
      <w:autoSpaceDN/>
      <w:spacing w:line="240" w:lineRule="auto"/>
      <w:ind w:firstLine="0" w:firstLineChars="0"/>
      <w:jc w:val="center"/>
    </w:pPr>
    <w:rPr>
      <w:kern w:val="0"/>
      <w:sz w:val="21"/>
      <w:szCs w:val="44"/>
    </w:rPr>
  </w:style>
  <w:style w:type="character" w:customStyle="1" w:styleId="36">
    <w:name w:val="宋-a表内字 Char"/>
    <w:basedOn w:val="14"/>
    <w:link w:val="35"/>
    <w:qFormat/>
    <w:uiPriority w:val="1"/>
    <w:rPr>
      <w:sz w:val="21"/>
      <w:szCs w:val="44"/>
    </w:rPr>
  </w:style>
  <w:style w:type="paragraph" w:customStyle="1" w:styleId="37">
    <w:name w:val="表格标题-wty"/>
    <w:basedOn w:val="1"/>
    <w:link w:val="38"/>
    <w:qFormat/>
    <w:uiPriority w:val="0"/>
    <w:pPr>
      <w:widowControl/>
      <w:autoSpaceDE/>
      <w:autoSpaceDN/>
      <w:spacing w:line="240" w:lineRule="auto"/>
      <w:ind w:firstLine="482" w:firstLineChars="0"/>
      <w:jc w:val="center"/>
    </w:pPr>
    <w:rPr>
      <w:rFonts w:cs="宋体"/>
      <w:b/>
      <w:kern w:val="0"/>
      <w:sz w:val="21"/>
      <w:szCs w:val="21"/>
    </w:rPr>
  </w:style>
  <w:style w:type="character" w:customStyle="1" w:styleId="38">
    <w:name w:val="表格标题-wty Char"/>
    <w:basedOn w:val="14"/>
    <w:link w:val="37"/>
    <w:qFormat/>
    <w:uiPriority w:val="0"/>
    <w:rPr>
      <w:rFonts w:cs="宋体"/>
      <w:b/>
      <w:sz w:val="21"/>
      <w:szCs w:val="21"/>
    </w:rPr>
  </w:style>
  <w:style w:type="paragraph" w:customStyle="1" w:styleId="39">
    <w:name w:val="4级标题"/>
    <w:basedOn w:val="1"/>
    <w:next w:val="33"/>
    <w:link w:val="40"/>
    <w:qFormat/>
    <w:uiPriority w:val="0"/>
    <w:pPr>
      <w:autoSpaceDE/>
      <w:autoSpaceDN/>
      <w:ind w:firstLine="200"/>
      <w:contextualSpacing/>
      <w:jc w:val="left"/>
      <w:outlineLvl w:val="3"/>
    </w:pPr>
    <w:rPr>
      <w:b/>
    </w:rPr>
  </w:style>
  <w:style w:type="character" w:customStyle="1" w:styleId="40">
    <w:name w:val="4级标题 字符"/>
    <w:basedOn w:val="14"/>
    <w:link w:val="39"/>
    <w:qFormat/>
    <w:uiPriority w:val="0"/>
    <w:rPr>
      <w:b/>
      <w:kern w:val="2"/>
      <w:sz w:val="24"/>
      <w:szCs w:val="24"/>
    </w:rPr>
  </w:style>
  <w:style w:type="table" w:customStyle="1" w:styleId="41">
    <w:name w:val="(环评报告表）1"/>
    <w:basedOn w:val="12"/>
    <w:qFormat/>
    <w:uiPriority w:val="59"/>
    <w:pPr>
      <w:ind w:firstLine="200" w:firstLineChars="200"/>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pn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99</Pages>
  <Words>11100</Words>
  <Characters>12187</Characters>
  <Lines>516</Lines>
  <Paragraphs>145</Paragraphs>
  <TotalTime>10608</TotalTime>
  <ScaleCrop>false</ScaleCrop>
  <LinksUpToDate>false</LinksUpToDate>
  <CharactersWithSpaces>12329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等风</cp:lastModifiedBy>
  <cp:lastPrinted>2020-12-24T01:50:00Z</cp:lastPrinted>
  <dcterms:modified xsi:type="dcterms:W3CDTF">2026-10-08T01:22:52Z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7BBF4DFB4E524C38915CCC5AC05E3579_13</vt:lpwstr>
  </property>
  <property fmtid="{D5CDD505-2E9C-101B-9397-08002B2CF9AE}" pid="4" name="KSOTemplateDocerSaveRecord">
    <vt:lpwstr>eyJoZGlkIjoiNDE1YjM3OTVhNDdiNDkzZDkyYTdiMjQzNmVhMGI4OWIiLCJ1c2VySWQiOiI1MTQ5MTEwMzUifQ==</vt:lpwstr>
  </property>
</Properties>
</file>